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ADB33">
      <w:pPr>
        <w:pageBreakBefore w:val="0"/>
        <w:wordWrap/>
        <w:spacing w:before="160" w:after="0"/>
        <w:ind w:right="0"/>
        <w:jc w:val="center"/>
        <w:textAlignment w:val="auto"/>
        <w:rPr>
          <w:sz w:val="28"/>
        </w:rPr>
      </w:pPr>
      <w:r>
        <w:rPr>
          <w:rFonts w:hint="eastAsia" w:ascii="宋体" w:hAnsi="宋体" w:eastAsia="宋体" w:cs="宋体"/>
          <w:b/>
          <w:i w:val="0"/>
          <w:spacing w:val="0"/>
          <w:sz w:val="28"/>
          <w:lang w:val="en-US" w:eastAsia="zh-CN"/>
        </w:rPr>
        <w:t>院内比选</w:t>
      </w:r>
      <w:r>
        <w:rPr>
          <w:rFonts w:ascii="宋体" w:hAnsi="宋体" w:eastAsia="宋体" w:cs="宋体"/>
          <w:b/>
          <w:i w:val="0"/>
          <w:spacing w:val="0"/>
          <w:sz w:val="28"/>
        </w:rPr>
        <w:t>评分标准</w:t>
      </w:r>
    </w:p>
    <w:p w14:paraId="06D8D879">
      <w:pPr>
        <w:pageBreakBefore w:val="0"/>
        <w:wordWrap/>
        <w:spacing w:before="160" w:after="0"/>
        <w:ind w:left="0" w:right="0" w:firstLine="420" w:firstLineChars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采用</w:t>
      </w:r>
      <w:r>
        <w:rPr>
          <w:rFonts w:ascii="宋体" w:hAnsi="宋体" w:eastAsia="宋体" w:cs="宋体"/>
          <w:b/>
          <w:i w:val="0"/>
          <w:spacing w:val="0"/>
          <w:sz w:val="24"/>
        </w:rPr>
        <w:t>综合评分法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，总分100分。评审委员会将根据各供应商的最终报价、技术响应情况、商务资质及售后服务方案进行独立打分。得分最高的供应商为第一成交候选人。</w:t>
      </w:r>
    </w:p>
    <w:tbl>
      <w:tblPr>
        <w:tblStyle w:val="2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0"/>
        <w:gridCol w:w="2760"/>
        <w:gridCol w:w="4217"/>
      </w:tblGrid>
      <w:tr w14:paraId="09B6FF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0" w:type="dxa"/>
          </w:tcPr>
          <w:p w14:paraId="1AF757C4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评分项</w:t>
            </w:r>
          </w:p>
        </w:tc>
        <w:tc>
          <w:tcPr>
            <w:tcW w:w="2760" w:type="dxa"/>
          </w:tcPr>
          <w:p w14:paraId="0192E969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得分</w:t>
            </w:r>
          </w:p>
        </w:tc>
        <w:tc>
          <w:tcPr>
            <w:tcW w:w="4217" w:type="dxa"/>
          </w:tcPr>
          <w:p w14:paraId="455EF23F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评分标准</w:t>
            </w:r>
          </w:p>
        </w:tc>
      </w:tr>
      <w:tr w14:paraId="4B22D4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4" w:hRule="atLeast"/>
        </w:trPr>
        <w:tc>
          <w:tcPr>
            <w:tcW w:w="2760" w:type="dxa"/>
            <w:vAlign w:val="center"/>
          </w:tcPr>
          <w:p w14:paraId="1DE6E40F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spacing w:val="0"/>
                <w:sz w:val="24"/>
              </w:rPr>
              <w:t>价格部分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30分</w:t>
            </w:r>
          </w:p>
        </w:tc>
        <w:tc>
          <w:tcPr>
            <w:tcW w:w="2760" w:type="dxa"/>
          </w:tcPr>
          <w:p w14:paraId="7284BDA4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</w:p>
        </w:tc>
        <w:tc>
          <w:tcPr>
            <w:tcW w:w="4217" w:type="dxa"/>
          </w:tcPr>
          <w:p w14:paraId="0350393C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  <w:szCs w:val="24"/>
              </w:rPr>
              <w:t>以满足谈判文件要求的最低有效报价为评标基准价，其价格分为满分30分。其他供应商的价格分统一按照下列公式计算：报价得分 = (评标基准价 / 实际报价) × 30。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szCs w:val="24"/>
                <w:lang w:val="en-US" w:eastAsia="zh-CN"/>
              </w:rPr>
              <w:t>如需采购专机专用耗材设备，需提供耗材报价，预估一年耗材使用量进行二次测算）</w:t>
            </w:r>
          </w:p>
        </w:tc>
      </w:tr>
      <w:tr w14:paraId="7B5868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4" w:hRule="atLeast"/>
        </w:trPr>
        <w:tc>
          <w:tcPr>
            <w:tcW w:w="2760" w:type="dxa"/>
            <w:vAlign w:val="center"/>
          </w:tcPr>
          <w:p w14:paraId="06350396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spacing w:val="0"/>
                <w:sz w:val="24"/>
              </w:rPr>
              <w:t>技术参数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val="en-US" w:eastAsia="zh-CN"/>
              </w:rPr>
              <w:t>45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分</w:t>
            </w:r>
          </w:p>
        </w:tc>
        <w:tc>
          <w:tcPr>
            <w:tcW w:w="2760" w:type="dxa"/>
          </w:tcPr>
          <w:p w14:paraId="4091C894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</w:p>
        </w:tc>
        <w:tc>
          <w:tcPr>
            <w:tcW w:w="4217" w:type="dxa"/>
          </w:tcPr>
          <w:p w14:paraId="45E58CB5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1. 核心参数（标注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</w:rPr>
              <w:t>▲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号条款）：每有一项不满足扣5分，扣完为止（若核心参数负偏离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val="en-US" w:eastAsia="zh-CN"/>
              </w:rPr>
              <w:t>超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过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val="en-US" w:eastAsia="zh-CN"/>
              </w:rPr>
              <w:t>三项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可作无效标处理）。2. 一般参数：完全满足得满分；每有一项一般参数负偏离扣2分，扣完为止。3. 优于采购需求的正偏离指标，由评委酌情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val="en-US" w:eastAsia="zh-CN"/>
              </w:rPr>
              <w:t>每项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加1-3分。</w:t>
            </w:r>
          </w:p>
        </w:tc>
      </w:tr>
      <w:tr w14:paraId="678919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2760" w:type="dxa"/>
            <w:vAlign w:val="center"/>
          </w:tcPr>
          <w:p w14:paraId="46416D86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spacing w:val="0"/>
                <w:sz w:val="24"/>
              </w:rPr>
              <w:t>商务业绩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val="en-US" w:eastAsia="zh-CN"/>
              </w:rPr>
              <w:t>13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分</w:t>
            </w:r>
          </w:p>
        </w:tc>
        <w:tc>
          <w:tcPr>
            <w:tcW w:w="2760" w:type="dxa"/>
          </w:tcPr>
          <w:p w14:paraId="31CD68D3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</w:p>
        </w:tc>
        <w:tc>
          <w:tcPr>
            <w:tcW w:w="4217" w:type="dxa"/>
          </w:tcPr>
          <w:p w14:paraId="79F9FAC6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</w:rPr>
              <w:t>1、市场占有率（3分）：评审专家通过泰茂医采云、千里马、易联器械网等专业查询平台（非指定、任选一平台），查询投标产品市场占有率，根据占有率排名，最高的得3分，次之的相应减1分。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提供近3年内同类产品的销售合同或中标通知书复印件：每提供1份得2分，最高得10分。（需提供关键页复印件并加盖公章）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eastAsia="zh-CN"/>
              </w:rPr>
              <w:t>。</w:t>
            </w:r>
          </w:p>
        </w:tc>
      </w:tr>
      <w:tr w14:paraId="6A0E99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8" w:hRule="atLeast"/>
        </w:trPr>
        <w:tc>
          <w:tcPr>
            <w:tcW w:w="2760" w:type="dxa"/>
            <w:vAlign w:val="center"/>
          </w:tcPr>
          <w:p w14:paraId="2A36412A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spacing w:val="0"/>
                <w:sz w:val="24"/>
              </w:rPr>
              <w:t>售后服务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val="en-US" w:eastAsia="zh-CN"/>
              </w:rPr>
              <w:t>12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分</w:t>
            </w:r>
          </w:p>
        </w:tc>
        <w:tc>
          <w:tcPr>
            <w:tcW w:w="2760" w:type="dxa"/>
          </w:tcPr>
          <w:p w14:paraId="4C8021AF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</w:p>
        </w:tc>
        <w:tc>
          <w:tcPr>
            <w:tcW w:w="4217" w:type="dxa"/>
          </w:tcPr>
          <w:p w14:paraId="0A7F1199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 xml:space="preserve">1. </w:t>
            </w:r>
            <w:r>
              <w:rPr>
                <w:rFonts w:ascii="宋体" w:hAnsi="宋体" w:eastAsia="宋体" w:cs="宋体"/>
                <w:b/>
                <w:i w:val="0"/>
                <w:spacing w:val="0"/>
                <w:sz w:val="24"/>
              </w:rPr>
              <w:t>质保期承诺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：在满足基础质保期要求的前提下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val="en-US" w:eastAsia="zh-CN"/>
              </w:rPr>
              <w:t>得3分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，每延长一年免费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val="en-US" w:eastAsia="zh-CN"/>
              </w:rPr>
              <w:t>质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 xml:space="preserve">保加2分，最高加4分。2. </w:t>
            </w:r>
            <w:r>
              <w:rPr>
                <w:rFonts w:ascii="宋体" w:hAnsi="宋体" w:eastAsia="宋体" w:cs="宋体"/>
                <w:b/>
                <w:i w:val="0"/>
                <w:spacing w:val="0"/>
                <w:sz w:val="24"/>
              </w:rPr>
              <w:t>服务方案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：包含维修响应时间（如2小时内响应，24小时内到场）、备品备件供应、巡检计划等。方案完善、针对性强得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分；方案一般得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分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val="en-US" w:eastAsia="zh-CN"/>
              </w:rPr>
              <w:t>方案描述不清，操作性差得0分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i w:val="0"/>
                <w:spacing w:val="0"/>
                <w:sz w:val="24"/>
              </w:rPr>
              <w:t>培训计划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：提供详细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eastAsia="zh-CN"/>
              </w:rPr>
              <w:t>、</w:t>
            </w:r>
            <w:r>
              <w:rPr>
                <w:rFonts w:ascii="宋体" w:hAnsi="宋体" w:eastAsia="宋体" w:cs="宋体"/>
                <w:b w:val="0"/>
                <w:i w:val="0"/>
                <w:spacing w:val="0"/>
                <w:sz w:val="24"/>
              </w:rPr>
              <w:t>合理可行的操作人员培训及考核方案</w:t>
            </w: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val="en-US" w:eastAsia="zh-CN"/>
              </w:rPr>
              <w:t>得2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sz w:val="24"/>
                <w:lang w:val="en-US" w:eastAsia="zh-CN"/>
              </w:rPr>
              <w:t>分</w:t>
            </w:r>
          </w:p>
        </w:tc>
      </w:tr>
    </w:tbl>
    <w:p w14:paraId="1F42BE35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补充说明：</w:t>
      </w:r>
    </w:p>
    <w:p w14:paraId="74A0FCAA">
      <w:pPr>
        <w:pageBreakBefore w:val="0"/>
        <w:numPr>
          <w:ilvl w:val="0"/>
          <w:numId w:val="1"/>
        </w:numPr>
        <w:wordWrap/>
        <w:spacing w:before="160" w:after="0"/>
        <w:ind w:left="0" w:right="0"/>
        <w:jc w:val="left"/>
        <w:textAlignment w:val="auto"/>
        <w:rPr>
          <w:rFonts w:hint="eastAsia" w:ascii="宋体" w:hAnsi="宋体" w:eastAsia="宋体" w:cs="宋体"/>
          <w:b w:val="0"/>
          <w:i w:val="0"/>
          <w:spacing w:val="0"/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若总得分相同，则按最终报价由低到高顺序排列；</w:t>
      </w:r>
      <w:r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  <w:t>若得分相同</w:t>
      </w:r>
      <w:r>
        <w:rPr>
          <w:rFonts w:hint="eastAsia" w:ascii="宋体" w:hAnsi="宋体" w:eastAsia="宋体" w:cs="宋体"/>
          <w:b w:val="0"/>
          <w:i w:val="0"/>
          <w:spacing w:val="0"/>
          <w:sz w:val="24"/>
        </w:rPr>
        <w:t>报价</w:t>
      </w:r>
      <w:r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  <w:t>亦</w:t>
      </w:r>
      <w:r>
        <w:rPr>
          <w:rFonts w:hint="eastAsia" w:ascii="宋体" w:hAnsi="宋体" w:eastAsia="宋体" w:cs="宋体"/>
          <w:b w:val="0"/>
          <w:i w:val="0"/>
          <w:spacing w:val="0"/>
          <w:sz w:val="24"/>
        </w:rPr>
        <w:t>相同时，按以下原则确定成交候选人的顺序：</w:t>
      </w:r>
    </w:p>
    <w:p w14:paraId="017C14C1">
      <w:pPr>
        <w:pageBreakBefore w:val="0"/>
        <w:numPr>
          <w:ilvl w:val="0"/>
          <w:numId w:val="0"/>
        </w:numPr>
        <w:wordWrap/>
        <w:spacing w:before="160" w:after="0"/>
        <w:ind w:right="0" w:rightChars="0" w:firstLine="480" w:firstLineChars="200"/>
        <w:jc w:val="left"/>
        <w:textAlignment w:val="auto"/>
        <w:rPr>
          <w:sz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sz w:val="24"/>
        </w:rPr>
        <w:t>依次按节能、环保产品累计金额高的优先、带“▲”的实质性要求正偏离项数多的优先、均无正偏离或者正偏离项数一致时负偏离项数少的优先、质量保证期长优先、交货期短优先、故障响应时间短优先的顺序排列。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。</w:t>
      </w:r>
    </w:p>
    <w:p w14:paraId="1EE23D9C">
      <w:pPr>
        <w:pageBreakBefore w:val="0"/>
        <w:numPr>
          <w:ilvl w:val="0"/>
          <w:numId w:val="0"/>
        </w:numPr>
        <w:wordWrap/>
        <w:spacing w:before="160" w:after="0"/>
        <w:ind w:leftChars="0" w:right="0" w:rightChars="0"/>
        <w:jc w:val="left"/>
        <w:textAlignment w:val="auto"/>
        <w:rPr>
          <w:sz w:val="24"/>
        </w:rPr>
      </w:pPr>
      <w:r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  <w:t>2、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供应商需对所提供的资料真实性负责，</w:t>
      </w:r>
      <w:r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  <w:t>尤其是技术参数带</w:t>
      </w:r>
      <w:r>
        <w:rPr>
          <w:rFonts w:hint="eastAsia" w:ascii="宋体" w:hAnsi="宋体" w:eastAsia="宋体" w:cs="宋体"/>
          <w:b w:val="0"/>
          <w:i w:val="0"/>
          <w:spacing w:val="0"/>
          <w:sz w:val="24"/>
        </w:rPr>
        <w:t>“▲”</w:t>
      </w:r>
      <w:r>
        <w:rPr>
          <w:rFonts w:hint="eastAsia" w:ascii="宋体" w:hAnsi="宋体" w:eastAsia="宋体" w:cs="宋体"/>
          <w:b w:val="0"/>
          <w:i w:val="0"/>
          <w:spacing w:val="0"/>
          <w:sz w:val="24"/>
          <w:lang w:val="en-US" w:eastAsia="zh-CN"/>
        </w:rPr>
        <w:t>应提供检测证书，</w:t>
      </w:r>
      <w:r>
        <w:rPr>
          <w:rFonts w:ascii="宋体" w:hAnsi="宋体" w:eastAsia="宋体" w:cs="宋体"/>
          <w:b w:val="0"/>
          <w:i w:val="0"/>
          <w:spacing w:val="0"/>
          <w:sz w:val="24"/>
        </w:rPr>
        <w:t>如有虚假，一经查实将取消成交资格并追究相关责任。</w:t>
      </w:r>
    </w:p>
    <w:p w14:paraId="11A155A8"/>
    <w:sectPr>
      <w:pgSz w:w="11906" w:h="16838"/>
      <w:pgMar w:top="873" w:right="896" w:bottom="873" w:left="89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DDF15D"/>
    <w:multiLevelType w:val="singleLevel"/>
    <w:tmpl w:val="76DDF15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31FCF"/>
    <w:rsid w:val="32DE1F01"/>
    <w:rsid w:val="4A2B1964"/>
    <w:rsid w:val="4BBF5511"/>
    <w:rsid w:val="51D07B9F"/>
    <w:rsid w:val="53234AA5"/>
    <w:rsid w:val="547C48AC"/>
    <w:rsid w:val="60A7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833</Words>
  <Characters>856</Characters>
  <Lines>0</Lines>
  <Paragraphs>0</Paragraphs>
  <TotalTime>3</TotalTime>
  <ScaleCrop>false</ScaleCrop>
  <LinksUpToDate>false</LinksUpToDate>
  <CharactersWithSpaces>868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2026-06-26T03:45:00Z</dcterms:created>
  <dc:creator>Administrator</dc:creator>
  <cp:lastModifiedBy>三少</cp:lastModifiedBy>
  <dcterms:modified xsi:type="dcterms:W3CDTF">2026-08-06T02:09:31Z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eyJoZGlkIjoiM2ExMTY2ZDBlMTI3NjFiYmZmNDBjNWI5OTk3MTViMTIiLCJ1c2VySWQiOiIzODM0Njk2NjgifQ==</vt:lpwstr>
  </property>
  <property fmtid="{D5CDD505-2E9C-101B-9397-08002B2CF9AE}" pid="4" name="ICV">
    <vt:lpwstr>4757E21EF9ED47C2A088E8D87E406D36_13</vt:lpwstr>
  </property>
</Properties>
</file>