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2EE071">
      <w:pPr>
        <w:spacing w:line="220" w:lineRule="atLeast"/>
        <w:rPr>
          <w:rFonts w:hint="eastAsia" w:ascii="宋体" w:hAnsi="宋体" w:eastAsia="宋体" w:cs="宋体"/>
          <w:b/>
          <w:bCs/>
          <w:sz w:val="32"/>
        </w:rPr>
      </w:pPr>
      <w:r>
        <w:rPr>
          <w:rFonts w:hint="eastAsia" w:ascii="宋体" w:hAnsi="宋体" w:eastAsia="宋体" w:cs="宋体"/>
          <w:b/>
          <w:bCs/>
          <w:sz w:val="32"/>
        </w:rPr>
        <w:t>附表：</w:t>
      </w:r>
    </w:p>
    <w:p w14:paraId="4265FA30">
      <w:pPr>
        <w:spacing w:line="440" w:lineRule="exact"/>
        <w:jc w:val="center"/>
        <w:rPr>
          <w:rFonts w:hint="eastAsia" w:ascii="宋体" w:hAnsi="宋体"/>
          <w:b/>
          <w:color w:val="000000"/>
          <w:szCs w:val="21"/>
        </w:rPr>
      </w:pPr>
      <w:r>
        <w:rPr>
          <w:rFonts w:hint="eastAsia" w:ascii="宋体" w:hAnsi="宋体"/>
          <w:b/>
          <w:color w:val="000000"/>
          <w:szCs w:val="21"/>
        </w:rPr>
        <w:t>货物需求一览表</w:t>
      </w:r>
    </w:p>
    <w:p w14:paraId="1817C749">
      <w:pPr>
        <w:spacing w:line="440" w:lineRule="exact"/>
        <w:rPr>
          <w:rFonts w:hint="eastAsia" w:ascii="宋体" w:hAnsi="宋体"/>
          <w:szCs w:val="21"/>
        </w:rPr>
      </w:pPr>
      <w:r>
        <w:rPr>
          <w:rFonts w:hint="eastAsia" w:ascii="宋体" w:hAnsi="宋体"/>
          <w:b/>
          <w:szCs w:val="21"/>
        </w:rPr>
        <w:t>说明：</w:t>
      </w:r>
    </w:p>
    <w:p w14:paraId="0F517EA8">
      <w:pPr>
        <w:spacing w:line="440" w:lineRule="exact"/>
        <w:ind w:firstLine="539" w:firstLineChars="245"/>
        <w:rPr>
          <w:rFonts w:hint="eastAsia" w:ascii="宋体" w:hAnsi="宋体"/>
          <w:b/>
          <w:szCs w:val="21"/>
        </w:rPr>
      </w:pPr>
      <w:r>
        <w:rPr>
          <w:rFonts w:hint="eastAsia" w:ascii="宋体" w:hAnsi="宋体"/>
          <w:b/>
          <w:szCs w:val="21"/>
        </w:rPr>
        <w:t>1、本一览表中的品牌型号、技术参数及其性能（配置）仅起参考作用，投标人可选用其他品牌型号替代，但这些替代的品牌型号要实质上相当于或优于参考品牌型号及其技术参数性能（配置）要求。</w:t>
      </w:r>
    </w:p>
    <w:p w14:paraId="017B1378">
      <w:pPr>
        <w:spacing w:line="440" w:lineRule="exact"/>
        <w:ind w:firstLine="480"/>
        <w:rPr>
          <w:rFonts w:hint="eastAsia" w:ascii="宋体" w:hAnsi="宋体"/>
          <w:b/>
          <w:szCs w:val="21"/>
        </w:rPr>
      </w:pPr>
      <w:r>
        <w:rPr>
          <w:rFonts w:hint="eastAsia" w:ascii="宋体" w:hAnsi="宋体"/>
          <w:b/>
          <w:szCs w:val="21"/>
        </w:rPr>
        <w:t>2、本一览表中参考品牌型号及技术参数及配置不明确或有误的，或投标人选有其他品牌型号替代的，请以详细正确的品牌型号、技术参数及配置同时填写投标报价表和技术规格响应表。</w:t>
      </w:r>
    </w:p>
    <w:tbl>
      <w:tblPr>
        <w:tblStyle w:val="2"/>
        <w:tblW w:w="10612"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74"/>
        <w:gridCol w:w="1125"/>
        <w:gridCol w:w="390"/>
        <w:gridCol w:w="8623"/>
      </w:tblGrid>
      <w:tr w14:paraId="4884A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1" w:hRule="atLeast"/>
          <w:tblHeader/>
        </w:trPr>
        <w:tc>
          <w:tcPr>
            <w:tcW w:w="474" w:type="dxa"/>
            <w:vAlign w:val="center"/>
          </w:tcPr>
          <w:p w14:paraId="338081BF">
            <w:pPr>
              <w:adjustRightInd/>
              <w:snapToGrid/>
              <w:spacing w:line="360" w:lineRule="auto"/>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项号</w:t>
            </w:r>
          </w:p>
        </w:tc>
        <w:tc>
          <w:tcPr>
            <w:tcW w:w="1125" w:type="dxa"/>
            <w:vAlign w:val="center"/>
          </w:tcPr>
          <w:p w14:paraId="0060318F">
            <w:pPr>
              <w:adjustRightInd/>
              <w:snapToGrid/>
              <w:spacing w:line="360" w:lineRule="auto"/>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货物名称</w:t>
            </w:r>
          </w:p>
        </w:tc>
        <w:tc>
          <w:tcPr>
            <w:tcW w:w="390" w:type="dxa"/>
            <w:vAlign w:val="center"/>
          </w:tcPr>
          <w:p w14:paraId="4802A224">
            <w:pPr>
              <w:adjustRightInd/>
              <w:snapToGrid/>
              <w:spacing w:line="360" w:lineRule="auto"/>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数量</w:t>
            </w:r>
          </w:p>
        </w:tc>
        <w:tc>
          <w:tcPr>
            <w:tcW w:w="8623" w:type="dxa"/>
            <w:vAlign w:val="center"/>
          </w:tcPr>
          <w:p w14:paraId="7D0E5980">
            <w:pPr>
              <w:adjustRightInd/>
              <w:snapToGrid/>
              <w:spacing w:line="360" w:lineRule="auto"/>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技术参数及性能（配置）要求</w:t>
            </w:r>
          </w:p>
        </w:tc>
      </w:tr>
      <w:tr w14:paraId="32622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0" w:hRule="atLeast"/>
        </w:trPr>
        <w:tc>
          <w:tcPr>
            <w:tcW w:w="474" w:type="dxa"/>
            <w:vAlign w:val="center"/>
          </w:tcPr>
          <w:p w14:paraId="6C3B4B80">
            <w:pPr>
              <w:adjustRightInd/>
              <w:snapToGrid/>
              <w:spacing w:line="360" w:lineRule="auto"/>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1</w:t>
            </w:r>
          </w:p>
        </w:tc>
        <w:tc>
          <w:tcPr>
            <w:tcW w:w="1125" w:type="dxa"/>
            <w:vAlign w:val="center"/>
          </w:tcPr>
          <w:p w14:paraId="72C6CC4F">
            <w:pPr>
              <w:adjustRightInd/>
              <w:snapToGrid/>
              <w:spacing w:line="360" w:lineRule="auto"/>
              <w:jc w:val="center"/>
              <w:rPr>
                <w:rFonts w:hint="eastAsia" w:ascii="宋体" w:hAnsi="宋体" w:eastAsia="宋体" w:cs="宋体"/>
                <w:b/>
                <w:color w:val="000000"/>
                <w:sz w:val="21"/>
                <w:szCs w:val="21"/>
              </w:rPr>
            </w:pPr>
          </w:p>
          <w:p w14:paraId="25EF526D">
            <w:pPr>
              <w:adjustRightInd/>
              <w:snapToGrid/>
              <w:spacing w:line="360" w:lineRule="auto"/>
              <w:jc w:val="center"/>
              <w:rPr>
                <w:rFonts w:hint="eastAsia" w:ascii="宋体" w:hAnsi="宋体" w:eastAsia="宋体" w:cs="宋体"/>
                <w:b/>
                <w:color w:val="000000"/>
                <w:sz w:val="21"/>
                <w:szCs w:val="21"/>
                <w:lang w:eastAsia="zh-CN"/>
              </w:rPr>
            </w:pPr>
            <w:r>
              <w:rPr>
                <w:rStyle w:val="5"/>
                <w:rFonts w:hint="eastAsia" w:ascii="Segoe UI" w:hAnsi="Segoe UI" w:eastAsia="宋体" w:cs="Segoe UI"/>
                <w:b/>
                <w:i w:val="0"/>
                <w:caps w:val="0"/>
                <w:color w:val="000000"/>
                <w:spacing w:val="0"/>
                <w:sz w:val="24"/>
                <w:szCs w:val="24"/>
                <w:shd w:val="clear" w:fill="FFFFFF"/>
                <w:lang w:eastAsia="zh-CN"/>
              </w:rPr>
              <w:t>有创/无创一体呼吸机</w:t>
            </w:r>
          </w:p>
        </w:tc>
        <w:tc>
          <w:tcPr>
            <w:tcW w:w="390" w:type="dxa"/>
            <w:vAlign w:val="center"/>
          </w:tcPr>
          <w:p w14:paraId="60A871BC">
            <w:pPr>
              <w:adjustRightInd/>
              <w:snapToGrid/>
              <w:spacing w:line="360" w:lineRule="auto"/>
              <w:jc w:val="center"/>
              <w:rPr>
                <w:rFonts w:hint="eastAsia" w:ascii="宋体" w:hAnsi="宋体" w:eastAsia="宋体" w:cs="宋体"/>
                <w:b/>
                <w:color w:val="000000"/>
                <w:sz w:val="21"/>
                <w:szCs w:val="21"/>
              </w:rPr>
            </w:pPr>
            <w:r>
              <w:rPr>
                <w:rFonts w:hint="eastAsia" w:ascii="宋体" w:hAnsi="宋体" w:eastAsia="宋体" w:cs="宋体"/>
                <w:b/>
                <w:color w:val="000000"/>
                <w:sz w:val="21"/>
                <w:szCs w:val="21"/>
                <w:lang w:val="en-US" w:eastAsia="zh-CN"/>
              </w:rPr>
              <w:t>1</w:t>
            </w:r>
            <w:r>
              <w:rPr>
                <w:rFonts w:hint="eastAsia" w:ascii="宋体" w:hAnsi="宋体" w:eastAsia="宋体" w:cs="宋体"/>
                <w:b/>
                <w:color w:val="000000"/>
                <w:sz w:val="21"/>
                <w:szCs w:val="21"/>
              </w:rPr>
              <w:t>套</w:t>
            </w:r>
          </w:p>
        </w:tc>
        <w:tc>
          <w:tcPr>
            <w:tcW w:w="8623" w:type="dxa"/>
          </w:tcPr>
          <w:p w14:paraId="3A3B5E58">
            <w:pPr>
              <w:rPr>
                <w:rFonts w:hint="eastAsia"/>
              </w:rPr>
            </w:pPr>
            <w:r>
              <w:rPr>
                <w:rFonts w:hint="eastAsia"/>
              </w:rPr>
              <w:t>技术参数及性能（配置）要求</w:t>
            </w:r>
          </w:p>
          <w:p w14:paraId="2CFD9FA5">
            <w:pPr>
              <w:rPr>
                <w:rFonts w:hint="eastAsia"/>
              </w:rPr>
            </w:pPr>
            <w:r>
              <w:rPr>
                <w:rFonts w:hint="eastAsia"/>
              </w:rPr>
              <w:t>一、技术参数</w:t>
            </w:r>
          </w:p>
          <w:p w14:paraId="00144CBC">
            <w:pPr>
              <w:rPr>
                <w:rFonts w:hint="eastAsia"/>
              </w:rPr>
            </w:pPr>
            <w:r>
              <w:rPr>
                <w:rFonts w:hint="eastAsia"/>
              </w:rPr>
              <w:t>1.1 适用于对成人、小儿和婴幼儿患者进行通气辅助及呼吸支持的呼吸机，具备中文操作界面。</w:t>
            </w:r>
          </w:p>
          <w:p w14:paraId="60C6D533">
            <w:pPr>
              <w:rPr>
                <w:rFonts w:hint="eastAsia"/>
              </w:rPr>
            </w:pPr>
            <w:r>
              <w:rPr>
                <w:rFonts w:hint="eastAsia"/>
              </w:rPr>
              <w:t>1.2 采用≥12英寸的彩色触摸控制屏幕，分辨率≥1024*768，支持多点触控。</w:t>
            </w:r>
          </w:p>
          <w:p w14:paraId="20805256">
            <w:pPr>
              <w:rPr>
                <w:rFonts w:hint="eastAsia"/>
              </w:rPr>
            </w:pPr>
            <w:r>
              <w:rPr>
                <w:rFonts w:hint="eastAsia"/>
              </w:rPr>
              <w:t>1.3 屏幕显示：支持≥3道波形同屏显示，支持呼吸环、波形和监测参数同屏显示。</w:t>
            </w:r>
          </w:p>
          <w:p w14:paraId="450E8DEC">
            <w:pPr>
              <w:rPr>
                <w:rFonts w:hint="eastAsia"/>
              </w:rPr>
            </w:pPr>
            <w:r>
              <w:rPr>
                <w:rFonts w:hint="eastAsia"/>
              </w:rPr>
              <w:t>1.4 自检功能，检查系统管道阻力、泄漏量和顺应性，测试流量传感器、呼气阀和安全阀等部件</w:t>
            </w:r>
          </w:p>
          <w:p w14:paraId="39314D6D">
            <w:pPr>
              <w:rPr>
                <w:rFonts w:hint="eastAsia"/>
              </w:rPr>
            </w:pPr>
            <w:r>
              <w:rPr>
                <w:rFonts w:hint="eastAsia"/>
              </w:rPr>
              <w:t>1.5 具备备用电池，断开外接电源后单块电池续航时间≥90分钟，支持电池热插拔，总续航时间可扩展至≥180分钟，电池剩余电量能显示在屏幕上。</w:t>
            </w:r>
          </w:p>
          <w:p w14:paraId="5C4BD563">
            <w:pPr>
              <w:rPr>
                <w:rFonts w:hint="eastAsia"/>
              </w:rPr>
            </w:pPr>
            <w:r>
              <w:rPr>
                <w:rFonts w:hint="eastAsia"/>
              </w:rPr>
              <w:t>1.6 电动电控呼吸机，具备内置空气气源，方便进行转运。</w:t>
            </w:r>
          </w:p>
          <w:p w14:paraId="3905E1DE">
            <w:pPr>
              <w:rPr>
                <w:rFonts w:hint="eastAsia"/>
              </w:rPr>
            </w:pPr>
            <w:r>
              <w:rPr>
                <w:rFonts w:hint="eastAsia"/>
              </w:rPr>
              <w:t>1.7 同时具备有创通气模式、无创通气模式。</w:t>
            </w:r>
          </w:p>
          <w:p w14:paraId="492E1E30">
            <w:pPr>
              <w:rPr>
                <w:rFonts w:hint="eastAsia"/>
              </w:rPr>
            </w:pPr>
            <w:r>
              <w:rPr>
                <w:rFonts w:hint="eastAsia"/>
              </w:rPr>
              <w:t>1.8 病人信息、当前的设置参数、报警限和趋势等数据可导出。</w:t>
            </w:r>
          </w:p>
          <w:p w14:paraId="3620AE30">
            <w:pPr>
              <w:rPr>
                <w:rFonts w:hint="eastAsia"/>
              </w:rPr>
            </w:pPr>
            <w:r>
              <w:rPr>
                <w:rFonts w:hint="eastAsia"/>
              </w:rPr>
              <w:t>1.9 呼吸波形及呼吸环可截图，支持U盘、USB接口等方式导出保存。</w:t>
            </w:r>
          </w:p>
          <w:p w14:paraId="4F065ADA">
            <w:pPr>
              <w:rPr>
                <w:rFonts w:hint="eastAsia"/>
              </w:rPr>
            </w:pPr>
            <w:r>
              <w:rPr>
                <w:rFonts w:hint="eastAsia"/>
              </w:rPr>
              <w:t>1.10 ★吸气安全阀组件可拆卸，并能高温高压蒸汽消毒（消毒温度≥121℃，134℃更佳），以防止交叉感染。</w:t>
            </w:r>
          </w:p>
          <w:p w14:paraId="1B550334">
            <w:pPr>
              <w:rPr>
                <w:rFonts w:hint="eastAsia"/>
              </w:rPr>
            </w:pPr>
            <w:r>
              <w:rPr>
                <w:rFonts w:hint="eastAsia"/>
              </w:rPr>
              <w:t>1.11 呼气阀组件设计合理，便于清洁消毒；流量传感器可采用压差式、热丝式或超声式等，测量精度符合行业标准，并能高温高压蒸汽消毒（消毒温度≥121℃，134℃更佳），以防止交叉感染。</w:t>
            </w:r>
          </w:p>
          <w:p w14:paraId="0A1B3049">
            <w:pPr>
              <w:rPr>
                <w:rFonts w:hint="eastAsia"/>
              </w:rPr>
            </w:pPr>
            <w:r>
              <w:rPr>
                <w:rFonts w:hint="eastAsia"/>
              </w:rPr>
              <w:t>1.12 可选配旁流CO2监测。</w:t>
            </w:r>
          </w:p>
          <w:p w14:paraId="19D51648">
            <w:pPr>
              <w:rPr>
                <w:rFonts w:hint="eastAsia"/>
              </w:rPr>
            </w:pPr>
            <w:r>
              <w:rPr>
                <w:rFonts w:hint="eastAsia"/>
              </w:rPr>
              <w:t>1.13 可选配主流CO2监测，同时监测气道死腔VDaw 和肺泡通气量Vtalv 等参数，可以监测容积-CO2环图</w:t>
            </w:r>
          </w:p>
          <w:p w14:paraId="2C8E7C7A">
            <w:pPr>
              <w:rPr>
                <w:rFonts w:hint="eastAsia"/>
              </w:rPr>
            </w:pPr>
            <w:r>
              <w:rPr>
                <w:rFonts w:hint="eastAsia"/>
              </w:rPr>
              <w:t>1.14 呼吸机整机重量≤12 kg（不包括台车），转运和移动。</w:t>
            </w:r>
          </w:p>
          <w:p w14:paraId="4885020F">
            <w:pPr>
              <w:rPr>
                <w:rFonts w:hint="eastAsia"/>
              </w:rPr>
            </w:pPr>
            <w:r>
              <w:rPr>
                <w:rFonts w:hint="eastAsia"/>
              </w:rPr>
              <w:t>二、呼吸模式及功能</w:t>
            </w:r>
          </w:p>
          <w:p w14:paraId="76115CD6">
            <w:pPr>
              <w:rPr>
                <w:rFonts w:hint="eastAsia"/>
              </w:rPr>
            </w:pPr>
            <w:r>
              <w:rPr>
                <w:rFonts w:hint="eastAsia"/>
              </w:rPr>
              <w:t>2.1 标配模式：容量控制通气下的辅助控制通气A/C和同步间歇指令通气SIMV、压力控制通气下的A/C和SIMV、CPAP/PSV、窒息通气模式</w:t>
            </w:r>
          </w:p>
          <w:p w14:paraId="09AED672">
            <w:pPr>
              <w:rPr>
                <w:rFonts w:hint="eastAsia"/>
              </w:rPr>
            </w:pPr>
            <w:r>
              <w:rPr>
                <w:rFonts w:hint="eastAsia"/>
              </w:rPr>
              <w:t>2.2 高级模式：双相气道正压通气（Bilevel/APRV类模式）；自动适应性压力调整容量控制功能（如容量保证压力支持模式）；压力释放通气APRV和压力调节容量控制-同步间歇指令模式。</w:t>
            </w:r>
          </w:p>
          <w:p w14:paraId="271AF087">
            <w:pPr>
              <w:rPr>
                <w:rFonts w:hint="eastAsia"/>
              </w:rPr>
            </w:pPr>
            <w:r>
              <w:rPr>
                <w:rFonts w:hint="eastAsia"/>
              </w:rPr>
              <w:t>2.3 其他功能：手动呼吸、吸气保持、呼气保持、雾化、纯氧灌注、智能吸痰程序（可选），NIF（可选）、PEEPi（可选）及P0.1测定（可选），监测参数的≥72小时的趋势图、表分析。</w:t>
            </w:r>
          </w:p>
          <w:p w14:paraId="535138B1">
            <w:pPr>
              <w:rPr>
                <w:rFonts w:hint="eastAsia"/>
              </w:rPr>
            </w:pPr>
            <w:r>
              <w:rPr>
                <w:rFonts w:hint="eastAsia"/>
              </w:rPr>
              <w:t>2.4★ 配置肺力学分析工具，支持低流速法P-V曲线测定，帮助确定最佳PEEP值。</w:t>
            </w:r>
          </w:p>
          <w:p w14:paraId="0CE0A281">
            <w:pPr>
              <w:rPr>
                <w:rFonts w:hint="eastAsia"/>
              </w:rPr>
            </w:pPr>
            <w:r>
              <w:rPr>
                <w:rFonts w:hint="eastAsia"/>
              </w:rPr>
              <w:t>2.5 自动插管阻力补偿功能，选择不同孔径的气管插管，呼吸机可自动调节送气压力，使插管末端的压力与呼吸机压力设置值保持一致</w:t>
            </w:r>
          </w:p>
          <w:p w14:paraId="36839F0B">
            <w:pPr>
              <w:rPr>
                <w:rFonts w:hint="eastAsia"/>
              </w:rPr>
            </w:pPr>
            <w:r>
              <w:rPr>
                <w:rFonts w:hint="eastAsia"/>
              </w:rPr>
              <w:t>2.6 具有人机同步优化技术，支持呼气触发灵敏度自动调节或手动调节，提高人机同步性，减少治疗过程中的参数调节频率。</w:t>
            </w:r>
          </w:p>
          <w:p w14:paraId="6AB57B14">
            <w:pPr>
              <w:rPr>
                <w:rFonts w:hint="eastAsia"/>
              </w:rPr>
            </w:pPr>
            <w:r>
              <w:rPr>
                <w:rFonts w:hint="eastAsia"/>
              </w:rPr>
              <w:t>2.7★ 标配氧疗功能，可以调节氧疗流速和氧浓度，具有湿化器。</w:t>
            </w:r>
          </w:p>
          <w:p w14:paraId="1AB0D4BF">
            <w:pPr>
              <w:rPr>
                <w:rFonts w:hint="eastAsia"/>
              </w:rPr>
            </w:pPr>
            <w:r>
              <w:rPr>
                <w:rFonts w:hint="eastAsia"/>
              </w:rPr>
              <w:t>2.8 具有单位理想体重输送的潮气量 （TVe/IBW）监测功能</w:t>
            </w:r>
          </w:p>
          <w:p w14:paraId="605C3793">
            <w:pPr>
              <w:rPr>
                <w:rFonts w:hint="eastAsia"/>
              </w:rPr>
            </w:pPr>
            <w:r>
              <w:rPr>
                <w:rFonts w:hint="eastAsia"/>
              </w:rPr>
              <w:t>3设置参数</w:t>
            </w:r>
          </w:p>
          <w:p w14:paraId="0DB6A170">
            <w:pPr>
              <w:rPr>
                <w:rFonts w:hint="eastAsia"/>
              </w:rPr>
            </w:pPr>
            <w:r>
              <w:rPr>
                <w:rFonts w:hint="eastAsia"/>
              </w:rPr>
              <w:t>3.1★ 潮气量调节范围：成人模式≥50 — 1500ml，小儿/婴幼儿模式可达10— 300ml，或整机覆盖范围≥20 — 1500ml</w:t>
            </w:r>
          </w:p>
          <w:p w14:paraId="6BABD51B">
            <w:pPr>
              <w:rPr>
                <w:rFonts w:hint="eastAsia"/>
              </w:rPr>
            </w:pPr>
            <w:r>
              <w:rPr>
                <w:rFonts w:hint="eastAsia"/>
              </w:rPr>
              <w:t>3.2 呼吸频率：1 - 100次/min</w:t>
            </w:r>
          </w:p>
          <w:p w14:paraId="1BC89CFB">
            <w:pPr>
              <w:rPr>
                <w:rFonts w:hint="eastAsia"/>
              </w:rPr>
            </w:pPr>
            <w:r>
              <w:rPr>
                <w:rFonts w:hint="eastAsia"/>
              </w:rPr>
              <w:t>3.3 SIMV频率：1 - 60次/min</w:t>
            </w:r>
          </w:p>
          <w:p w14:paraId="56A56FB9">
            <w:pPr>
              <w:rPr>
                <w:rFonts w:hint="eastAsia"/>
              </w:rPr>
            </w:pPr>
            <w:r>
              <w:rPr>
                <w:rFonts w:hint="eastAsia"/>
              </w:rPr>
              <w:t>3.4 吸/呼比：4:1 — 1:10</w:t>
            </w:r>
          </w:p>
          <w:p w14:paraId="496120D1">
            <w:pPr>
              <w:rPr>
                <w:rFonts w:hint="eastAsia"/>
              </w:rPr>
            </w:pPr>
            <w:r>
              <w:rPr>
                <w:rFonts w:hint="eastAsia"/>
              </w:rPr>
              <w:t>3.5 最大峰值流速：≥180L/min</w:t>
            </w:r>
          </w:p>
          <w:p w14:paraId="037C1598">
            <w:pPr>
              <w:rPr>
                <w:rFonts w:hint="eastAsia"/>
              </w:rPr>
            </w:pPr>
            <w:r>
              <w:rPr>
                <w:rFonts w:hint="eastAsia"/>
              </w:rPr>
              <w:t>3.6 吸气压力：5 -- 80 cmH2O</w:t>
            </w:r>
          </w:p>
          <w:p w14:paraId="7F5D935A">
            <w:pPr>
              <w:rPr>
                <w:rFonts w:hint="eastAsia"/>
              </w:rPr>
            </w:pPr>
            <w:r>
              <w:rPr>
                <w:rFonts w:hint="eastAsia"/>
              </w:rPr>
              <w:t>3.7 压力支持：0 — 80cmH2O</w:t>
            </w:r>
          </w:p>
          <w:p w14:paraId="58AEABF9">
            <w:pPr>
              <w:rPr>
                <w:rFonts w:hint="eastAsia"/>
              </w:rPr>
            </w:pPr>
            <w:r>
              <w:rPr>
                <w:rFonts w:hint="eastAsia"/>
              </w:rPr>
              <w:t>3.8 PEEP：OFF，1 -- 45 cmH2O</w:t>
            </w:r>
          </w:p>
          <w:p w14:paraId="3490BB9C">
            <w:pPr>
              <w:rPr>
                <w:rFonts w:hint="eastAsia"/>
              </w:rPr>
            </w:pPr>
            <w:r>
              <w:rPr>
                <w:rFonts w:hint="eastAsia"/>
              </w:rPr>
              <w:t>3.9 压力触发灵敏度：-10 — 0.5cmH2O</w:t>
            </w:r>
          </w:p>
          <w:p w14:paraId="43AA4F2C">
            <w:pPr>
              <w:rPr>
                <w:rFonts w:hint="eastAsia"/>
              </w:rPr>
            </w:pPr>
            <w:r>
              <w:rPr>
                <w:rFonts w:hint="eastAsia"/>
              </w:rPr>
              <w:t>3.10 流速触发灵敏度：0.5 — 15L/ min</w:t>
            </w:r>
          </w:p>
          <w:p w14:paraId="2F874A5E">
            <w:pPr>
              <w:rPr>
                <w:rFonts w:hint="eastAsia"/>
              </w:rPr>
            </w:pPr>
            <w:r>
              <w:rPr>
                <w:rFonts w:hint="eastAsia"/>
              </w:rPr>
              <w:t>3.11 氧浓度：21 — 100%</w:t>
            </w:r>
          </w:p>
          <w:p w14:paraId="70997F7D">
            <w:pPr>
              <w:rPr>
                <w:rFonts w:hint="eastAsia"/>
              </w:rPr>
            </w:pPr>
            <w:r>
              <w:rPr>
                <w:rFonts w:hint="eastAsia"/>
              </w:rPr>
              <w:t>3.12 叹息功能：有</w:t>
            </w:r>
          </w:p>
          <w:p w14:paraId="1A37B95B">
            <w:pPr>
              <w:rPr>
                <w:rFonts w:hint="eastAsia"/>
              </w:rPr>
            </w:pPr>
            <w:r>
              <w:rPr>
                <w:rFonts w:hint="eastAsia"/>
              </w:rPr>
              <w:t>3.13 氧疗流速：≥60L/min，最高可达80L/min或以上</w:t>
            </w:r>
          </w:p>
          <w:p w14:paraId="3CDDEE52">
            <w:pPr>
              <w:rPr>
                <w:rFonts w:hint="eastAsia"/>
              </w:rPr>
            </w:pPr>
            <w:r>
              <w:rPr>
                <w:rFonts w:hint="eastAsia"/>
              </w:rPr>
              <w:t>4监测参数</w:t>
            </w:r>
          </w:p>
          <w:p w14:paraId="700077BF">
            <w:pPr>
              <w:rPr>
                <w:rFonts w:hint="eastAsia"/>
              </w:rPr>
            </w:pPr>
            <w:r>
              <w:rPr>
                <w:rFonts w:hint="eastAsia"/>
              </w:rPr>
              <w:t>4.1 气道压力：PEEP、气道峰压、平台压、平均压等监测</w:t>
            </w:r>
          </w:p>
          <w:p w14:paraId="39CE8AC2">
            <w:pPr>
              <w:rPr>
                <w:rFonts w:hint="eastAsia"/>
              </w:rPr>
            </w:pPr>
            <w:r>
              <w:rPr>
                <w:rFonts w:hint="eastAsia"/>
              </w:rPr>
              <w:t>4.2 每分钟呼出通气量：总的分钟通气量、自主呼吸的分钟通气量、泄漏的分钟通气量的监测</w:t>
            </w:r>
          </w:p>
          <w:p w14:paraId="516B5D41">
            <w:pPr>
              <w:rPr>
                <w:rFonts w:hint="eastAsia"/>
              </w:rPr>
            </w:pPr>
            <w:r>
              <w:rPr>
                <w:rFonts w:hint="eastAsia"/>
              </w:rPr>
              <w:t>4.3 潮气量的监测：吸入潮气量、呼出潮气量的监测</w:t>
            </w:r>
          </w:p>
          <w:p w14:paraId="7C569B32">
            <w:pPr>
              <w:rPr>
                <w:rFonts w:hint="eastAsia"/>
              </w:rPr>
            </w:pPr>
            <w:r>
              <w:rPr>
                <w:rFonts w:hint="eastAsia"/>
              </w:rPr>
              <w:t>4.4 呼吸频率监测：总的呼吸频率、自主呼吸频率、机控呼吸频率的监测</w:t>
            </w:r>
          </w:p>
          <w:p w14:paraId="1F6B39C3">
            <w:pPr>
              <w:rPr>
                <w:rFonts w:hint="eastAsia"/>
              </w:rPr>
            </w:pPr>
            <w:r>
              <w:rPr>
                <w:rFonts w:hint="eastAsia"/>
              </w:rPr>
              <w:t>4.5 波形显示：压力/时间、流速/时间、容量/时间</w:t>
            </w:r>
          </w:p>
          <w:p w14:paraId="385105C9">
            <w:pPr>
              <w:rPr>
                <w:rFonts w:hint="eastAsia"/>
              </w:rPr>
            </w:pPr>
            <w:r>
              <w:rPr>
                <w:rFonts w:hint="eastAsia"/>
              </w:rPr>
              <w:t>4.6 吸入的氧浓度的监测</w:t>
            </w:r>
          </w:p>
          <w:p w14:paraId="6439A2C5">
            <w:pPr>
              <w:rPr>
                <w:rFonts w:hint="eastAsia"/>
              </w:rPr>
            </w:pPr>
            <w:r>
              <w:rPr>
                <w:rFonts w:hint="eastAsia"/>
              </w:rPr>
              <w:t>4.7 趋势图和趋势表显示</w:t>
            </w:r>
          </w:p>
          <w:p w14:paraId="5F9149A2">
            <w:pPr>
              <w:rPr>
                <w:rFonts w:hint="eastAsia"/>
              </w:rPr>
            </w:pPr>
            <w:r>
              <w:rPr>
                <w:rFonts w:hint="eastAsia"/>
              </w:rPr>
              <w:t>4.8 ★具有压力/容积、流速/容积、流速/压力环3种呼吸环监测。</w:t>
            </w:r>
          </w:p>
          <w:p w14:paraId="36395515">
            <w:pPr>
              <w:rPr>
                <w:rFonts w:hint="eastAsia"/>
              </w:rPr>
            </w:pPr>
            <w:r>
              <w:rPr>
                <w:rFonts w:hint="eastAsia"/>
              </w:rPr>
              <w:t>4.9 肺的力学：吸气阻力、呼气阻力、静态顺应性、动态顺应性和时间常数的监测。</w:t>
            </w:r>
          </w:p>
          <w:p w14:paraId="0613BA97">
            <w:pPr>
              <w:rPr>
                <w:rFonts w:hint="eastAsia"/>
              </w:rPr>
            </w:pPr>
            <w:r>
              <w:rPr>
                <w:rFonts w:hint="eastAsia"/>
              </w:rPr>
              <w:t>4.10 具有锁屏功能，防止误操作</w:t>
            </w:r>
          </w:p>
          <w:p w14:paraId="1D6674BF">
            <w:pPr>
              <w:rPr>
                <w:rFonts w:hint="eastAsia"/>
              </w:rPr>
            </w:pPr>
            <w:r>
              <w:rPr>
                <w:rFonts w:hint="eastAsia"/>
              </w:rPr>
              <w:t>4.11 漏气自动补偿，管道的顺应性和BTPS补偿功能</w:t>
            </w:r>
          </w:p>
          <w:p w14:paraId="13EDCB14">
            <w:pPr>
              <w:rPr>
                <w:rFonts w:hint="eastAsia"/>
              </w:rPr>
            </w:pPr>
            <w:r>
              <w:rPr>
                <w:rFonts w:hint="eastAsia"/>
              </w:rPr>
              <w:t>4.12 提供直流和交流两种供电方式，直流电压范围适应车载或便携电源要求</w:t>
            </w:r>
          </w:p>
          <w:p w14:paraId="7898A26A">
            <w:pPr>
              <w:rPr>
                <w:rFonts w:hint="eastAsia"/>
              </w:rPr>
            </w:pPr>
            <w:r>
              <w:rPr>
                <w:rFonts w:hint="eastAsia"/>
              </w:rPr>
              <w:t>4.13 提供高压氧气气源和低压氧气气源两种方式</w:t>
            </w:r>
          </w:p>
          <w:p w14:paraId="2689E7F8">
            <w:pPr>
              <w:rPr>
                <w:rFonts w:hint="eastAsia"/>
                <w:lang w:val="en-US" w:eastAsia="zh-CN"/>
              </w:rPr>
            </w:pPr>
            <w:r>
              <w:rPr>
                <w:rFonts w:hint="eastAsia"/>
              </w:rPr>
              <w:t>4.14 支持标准通信协议（如HL7、DICOM、IEEE 11073等），可与医院信息系统（HIS）、监护系统及中央监护站连接，实现呼吸机监测信息的实时显示和数据共享，满足科室信息化需求</w:t>
            </w:r>
          </w:p>
          <w:p w14:paraId="2217BC14">
            <w:pPr>
              <w:rPr>
                <w:rFonts w:hint="eastAsia"/>
                <w:lang w:val="en-US" w:eastAsia="zh-CN"/>
              </w:rPr>
            </w:pPr>
          </w:p>
          <w:p w14:paraId="5417BC80">
            <w:pPr>
              <w:rPr>
                <w:rFonts w:hint="eastAsia"/>
                <w:lang w:val="en-US" w:eastAsia="zh-CN"/>
              </w:rPr>
            </w:pPr>
          </w:p>
          <w:p w14:paraId="15898563">
            <w:pPr>
              <w:numPr>
                <w:ilvl w:val="0"/>
                <w:numId w:val="1"/>
              </w:numPr>
              <w:rPr>
                <w:rFonts w:hint="eastAsia" w:ascii="宋体" w:hAnsi="宋体" w:eastAsia="宋体" w:cs="Times New Roman"/>
                <w:b w:val="0"/>
                <w:bCs w:val="0"/>
                <w:color w:val="auto"/>
                <w:sz w:val="24"/>
                <w:szCs w:val="24"/>
                <w:highlight w:val="none"/>
              </w:rPr>
            </w:pPr>
            <w:r>
              <w:rPr>
                <w:rFonts w:hint="eastAsia" w:ascii="宋体" w:hAnsi="宋体" w:eastAsia="宋体" w:cs="Times New Roman"/>
                <w:b w:val="0"/>
                <w:bCs w:val="0"/>
                <w:color w:val="auto"/>
                <w:sz w:val="24"/>
                <w:szCs w:val="24"/>
                <w:highlight w:val="none"/>
              </w:rPr>
              <w:t>配置清单/要求</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7"/>
              <w:gridCol w:w="4005"/>
              <w:gridCol w:w="600"/>
              <w:gridCol w:w="1200"/>
            </w:tblGrid>
            <w:tr w14:paraId="46C5C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137" w:type="dxa"/>
                  <w:vAlign w:val="center"/>
                </w:tcPr>
                <w:p w14:paraId="42056DF3">
                  <w:pPr>
                    <w:spacing w:line="400" w:lineRule="exact"/>
                    <w:jc w:val="center"/>
                    <w:rPr>
                      <w:rFonts w:ascii="宋体" w:hAnsi="宋体" w:eastAsia="宋体" w:cs="Times New Roman"/>
                      <w:b w:val="0"/>
                      <w:bCs w:val="0"/>
                      <w:color w:val="auto"/>
                      <w:sz w:val="24"/>
                      <w:szCs w:val="24"/>
                      <w:highlight w:val="none"/>
                    </w:rPr>
                  </w:pPr>
                  <w:r>
                    <w:rPr>
                      <w:rFonts w:hint="eastAsia" w:ascii="宋体" w:hAnsi="宋体" w:eastAsia="宋体" w:cs="Times New Roman"/>
                      <w:b w:val="0"/>
                      <w:bCs w:val="0"/>
                      <w:color w:val="auto"/>
                      <w:sz w:val="24"/>
                      <w:szCs w:val="24"/>
                      <w:highlight w:val="none"/>
                    </w:rPr>
                    <w:t>序号</w:t>
                  </w:r>
                </w:p>
              </w:tc>
              <w:tc>
                <w:tcPr>
                  <w:tcW w:w="4005" w:type="dxa"/>
                  <w:vAlign w:val="center"/>
                </w:tcPr>
                <w:p w14:paraId="4D21A0C3">
                  <w:pPr>
                    <w:spacing w:line="400" w:lineRule="exact"/>
                    <w:jc w:val="center"/>
                    <w:rPr>
                      <w:rFonts w:ascii="宋体" w:hAnsi="宋体" w:eastAsia="宋体" w:cs="Times New Roman"/>
                      <w:b w:val="0"/>
                      <w:bCs w:val="0"/>
                      <w:color w:val="auto"/>
                      <w:sz w:val="24"/>
                      <w:szCs w:val="24"/>
                      <w:highlight w:val="none"/>
                    </w:rPr>
                  </w:pPr>
                  <w:r>
                    <w:rPr>
                      <w:rFonts w:hint="eastAsia" w:ascii="宋体" w:hAnsi="宋体" w:eastAsia="宋体" w:cs="Times New Roman"/>
                      <w:b w:val="0"/>
                      <w:bCs w:val="0"/>
                      <w:color w:val="auto"/>
                      <w:sz w:val="24"/>
                      <w:szCs w:val="24"/>
                      <w:highlight w:val="none"/>
                    </w:rPr>
                    <w:t>内容</w:t>
                  </w:r>
                </w:p>
              </w:tc>
              <w:tc>
                <w:tcPr>
                  <w:tcW w:w="600" w:type="dxa"/>
                  <w:vAlign w:val="center"/>
                </w:tcPr>
                <w:p w14:paraId="065EA845">
                  <w:pPr>
                    <w:spacing w:line="400" w:lineRule="exact"/>
                    <w:jc w:val="center"/>
                    <w:rPr>
                      <w:rFonts w:ascii="宋体" w:hAnsi="宋体" w:eastAsia="宋体" w:cs="Times New Roman"/>
                      <w:b w:val="0"/>
                      <w:bCs w:val="0"/>
                      <w:color w:val="auto"/>
                      <w:sz w:val="24"/>
                      <w:szCs w:val="24"/>
                      <w:highlight w:val="none"/>
                    </w:rPr>
                  </w:pPr>
                  <w:r>
                    <w:rPr>
                      <w:rFonts w:hint="eastAsia" w:ascii="宋体" w:hAnsi="宋体" w:eastAsia="宋体" w:cs="Times New Roman"/>
                      <w:b w:val="0"/>
                      <w:bCs w:val="0"/>
                      <w:color w:val="auto"/>
                      <w:sz w:val="24"/>
                      <w:szCs w:val="24"/>
                      <w:highlight w:val="none"/>
                    </w:rPr>
                    <w:t>数量</w:t>
                  </w:r>
                </w:p>
              </w:tc>
              <w:tc>
                <w:tcPr>
                  <w:tcW w:w="1200" w:type="dxa"/>
                  <w:vAlign w:val="center"/>
                </w:tcPr>
                <w:p w14:paraId="26036A48">
                  <w:pPr>
                    <w:spacing w:line="400" w:lineRule="exact"/>
                    <w:jc w:val="center"/>
                    <w:rPr>
                      <w:rFonts w:ascii="宋体" w:hAnsi="宋体" w:eastAsia="宋体" w:cs="Times New Roman"/>
                      <w:b w:val="0"/>
                      <w:bCs w:val="0"/>
                      <w:color w:val="auto"/>
                      <w:sz w:val="24"/>
                      <w:szCs w:val="24"/>
                      <w:highlight w:val="none"/>
                    </w:rPr>
                  </w:pPr>
                  <w:r>
                    <w:rPr>
                      <w:rFonts w:hint="eastAsia" w:ascii="宋体" w:hAnsi="宋体" w:eastAsia="宋体" w:cs="Times New Roman"/>
                      <w:b w:val="0"/>
                      <w:bCs w:val="0"/>
                      <w:color w:val="auto"/>
                      <w:sz w:val="24"/>
                      <w:szCs w:val="24"/>
                      <w:highlight w:val="none"/>
                    </w:rPr>
                    <w:t>单位</w:t>
                  </w:r>
                </w:p>
              </w:tc>
            </w:tr>
            <w:tr w14:paraId="4FB3E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137" w:type="dxa"/>
                  <w:vAlign w:val="center"/>
                </w:tcPr>
                <w:p w14:paraId="213DE953">
                  <w:pPr>
                    <w:spacing w:line="380" w:lineRule="exact"/>
                    <w:rPr>
                      <w:rFonts w:ascii="宋体" w:hAnsi="宋体" w:eastAsia="宋体" w:cs="Times New Roman"/>
                      <w:b w:val="0"/>
                      <w:bCs w:val="0"/>
                      <w:color w:val="auto"/>
                      <w:sz w:val="24"/>
                      <w:szCs w:val="24"/>
                      <w:highlight w:val="none"/>
                    </w:rPr>
                  </w:pPr>
                  <w:r>
                    <w:rPr>
                      <w:rFonts w:hint="eastAsia" w:ascii="宋体" w:hAnsi="宋体"/>
                      <w:szCs w:val="21"/>
                      <w:lang w:val="en-US" w:eastAsia="zh-CN"/>
                    </w:rPr>
                    <w:t>1</w:t>
                  </w:r>
                </w:p>
              </w:tc>
              <w:tc>
                <w:tcPr>
                  <w:tcW w:w="4005" w:type="dxa"/>
                  <w:vAlign w:val="center"/>
                </w:tcPr>
                <w:p w14:paraId="5011B8F9">
                  <w:pPr>
                    <w:spacing w:line="380" w:lineRule="exact"/>
                    <w:rPr>
                      <w:rFonts w:ascii="宋体" w:hAnsi="宋体" w:eastAsia="宋体" w:cs="Times New Roman"/>
                      <w:b w:val="0"/>
                      <w:bCs w:val="0"/>
                      <w:color w:val="auto"/>
                      <w:sz w:val="24"/>
                      <w:szCs w:val="24"/>
                      <w:highlight w:val="none"/>
                    </w:rPr>
                  </w:pPr>
                  <w:r>
                    <w:rPr>
                      <w:rFonts w:hint="eastAsia" w:ascii="宋体" w:hAnsi="宋体"/>
                      <w:szCs w:val="21"/>
                      <w:lang w:eastAsia="zh-CN"/>
                    </w:rPr>
                    <w:t>主机</w:t>
                  </w:r>
                </w:p>
              </w:tc>
              <w:tc>
                <w:tcPr>
                  <w:tcW w:w="600" w:type="dxa"/>
                  <w:vAlign w:val="center"/>
                </w:tcPr>
                <w:p w14:paraId="1DD780DE">
                  <w:pPr>
                    <w:spacing w:line="400" w:lineRule="exact"/>
                    <w:jc w:val="center"/>
                    <w:rPr>
                      <w:rFonts w:hint="eastAsia" w:ascii="宋体" w:hAnsi="宋体" w:eastAsia="宋体" w:cs="Times New Roman"/>
                      <w:b w:val="0"/>
                      <w:bCs w:val="0"/>
                      <w:color w:val="auto"/>
                      <w:sz w:val="24"/>
                      <w:szCs w:val="24"/>
                      <w:highlight w:val="none"/>
                      <w:lang w:eastAsia="zh-CN"/>
                    </w:rPr>
                  </w:pPr>
                  <w:r>
                    <w:rPr>
                      <w:rFonts w:hint="eastAsia" w:ascii="宋体" w:hAnsi="宋体" w:eastAsia="宋体" w:cs="Times New Roman"/>
                      <w:b w:val="0"/>
                      <w:bCs w:val="0"/>
                      <w:color w:val="auto"/>
                      <w:sz w:val="24"/>
                      <w:szCs w:val="24"/>
                      <w:highlight w:val="none"/>
                      <w:lang w:val="en-US" w:eastAsia="zh-CN"/>
                    </w:rPr>
                    <w:t>3</w:t>
                  </w:r>
                </w:p>
              </w:tc>
              <w:tc>
                <w:tcPr>
                  <w:tcW w:w="1200" w:type="dxa"/>
                  <w:vAlign w:val="center"/>
                </w:tcPr>
                <w:p w14:paraId="7D1B3B17">
                  <w:pPr>
                    <w:spacing w:line="400" w:lineRule="exact"/>
                    <w:jc w:val="center"/>
                    <w:rPr>
                      <w:rFonts w:hint="eastAsia" w:ascii="宋体" w:hAnsi="宋体" w:eastAsia="宋体" w:cs="Times New Roman"/>
                      <w:b w:val="0"/>
                      <w:bCs w:val="0"/>
                      <w:color w:val="auto"/>
                      <w:sz w:val="24"/>
                      <w:szCs w:val="24"/>
                      <w:highlight w:val="none"/>
                      <w:lang w:eastAsia="zh-CN"/>
                    </w:rPr>
                  </w:pPr>
                  <w:r>
                    <w:rPr>
                      <w:rFonts w:hint="eastAsia" w:ascii="宋体" w:hAnsi="宋体" w:eastAsia="宋体" w:cs="Times New Roman"/>
                      <w:b w:val="0"/>
                      <w:bCs w:val="0"/>
                      <w:color w:val="auto"/>
                      <w:sz w:val="24"/>
                      <w:szCs w:val="24"/>
                      <w:highlight w:val="none"/>
                      <w:lang w:eastAsia="zh-CN"/>
                    </w:rPr>
                    <w:t>台</w:t>
                  </w:r>
                </w:p>
              </w:tc>
            </w:tr>
            <w:tr w14:paraId="34315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137" w:type="dxa"/>
                  <w:vAlign w:val="center"/>
                </w:tcPr>
                <w:p w14:paraId="192254A2">
                  <w:pPr>
                    <w:spacing w:line="380" w:lineRule="exact"/>
                    <w:rPr>
                      <w:rFonts w:ascii="宋体" w:hAnsi="宋体" w:eastAsia="宋体" w:cs="Times New Roman"/>
                      <w:b w:val="0"/>
                      <w:bCs w:val="0"/>
                      <w:color w:val="auto"/>
                      <w:sz w:val="24"/>
                      <w:szCs w:val="24"/>
                      <w:highlight w:val="none"/>
                    </w:rPr>
                  </w:pPr>
                  <w:r>
                    <w:rPr>
                      <w:rFonts w:hint="eastAsia" w:ascii="宋体" w:hAnsi="宋体"/>
                      <w:szCs w:val="21"/>
                      <w:lang w:val="en-US" w:eastAsia="zh-CN"/>
                    </w:rPr>
                    <w:t>2</w:t>
                  </w:r>
                </w:p>
              </w:tc>
              <w:tc>
                <w:tcPr>
                  <w:tcW w:w="4005" w:type="dxa"/>
                  <w:vAlign w:val="top"/>
                </w:tcPr>
                <w:p w14:paraId="56F911A0">
                  <w:pPr>
                    <w:widowControl/>
                    <w:jc w:val="left"/>
                    <w:rPr>
                      <w:rFonts w:ascii="宋体" w:hAnsi="宋体" w:eastAsia="宋体" w:cs="Times New Roman"/>
                      <w:b w:val="0"/>
                      <w:bCs w:val="0"/>
                      <w:color w:val="auto"/>
                      <w:sz w:val="24"/>
                      <w:szCs w:val="24"/>
                      <w:highlight w:val="none"/>
                    </w:rPr>
                  </w:pPr>
                  <w:r>
                    <w:rPr>
                      <w:rFonts w:hint="eastAsia" w:ascii="宋体" w:hAnsi="宋体" w:cs="宋体"/>
                      <w:color w:val="000000"/>
                      <w:kern w:val="0"/>
                      <w:sz w:val="24"/>
                    </w:rPr>
                    <w:t>三芯电源线</w:t>
                  </w:r>
                </w:p>
              </w:tc>
              <w:tc>
                <w:tcPr>
                  <w:tcW w:w="600" w:type="dxa"/>
                  <w:vAlign w:val="center"/>
                </w:tcPr>
                <w:p w14:paraId="4EACDBB8">
                  <w:pPr>
                    <w:spacing w:line="400" w:lineRule="exact"/>
                    <w:jc w:val="center"/>
                    <w:rPr>
                      <w:rFonts w:ascii="宋体" w:hAnsi="宋体" w:eastAsia="宋体" w:cs="Times New Roman"/>
                      <w:b w:val="0"/>
                      <w:bCs w:val="0"/>
                      <w:color w:val="auto"/>
                      <w:sz w:val="24"/>
                      <w:szCs w:val="24"/>
                      <w:highlight w:val="none"/>
                    </w:rPr>
                  </w:pPr>
                  <w:r>
                    <w:rPr>
                      <w:rFonts w:hint="eastAsia" w:ascii="宋体" w:hAnsi="宋体" w:eastAsia="宋体" w:cs="Times New Roman"/>
                      <w:b w:val="0"/>
                      <w:bCs w:val="0"/>
                      <w:color w:val="auto"/>
                      <w:sz w:val="24"/>
                      <w:szCs w:val="24"/>
                      <w:highlight w:val="none"/>
                      <w:lang w:val="en-US" w:eastAsia="zh-CN"/>
                    </w:rPr>
                    <w:t>3</w:t>
                  </w:r>
                </w:p>
              </w:tc>
              <w:tc>
                <w:tcPr>
                  <w:tcW w:w="1200" w:type="dxa"/>
                  <w:vAlign w:val="center"/>
                </w:tcPr>
                <w:p w14:paraId="76610B23">
                  <w:pPr>
                    <w:spacing w:line="400" w:lineRule="exact"/>
                    <w:jc w:val="center"/>
                    <w:rPr>
                      <w:rFonts w:hint="eastAsia" w:ascii="宋体" w:hAnsi="宋体" w:eastAsia="宋体" w:cs="Times New Roman"/>
                      <w:b w:val="0"/>
                      <w:bCs w:val="0"/>
                      <w:color w:val="auto"/>
                      <w:sz w:val="24"/>
                      <w:szCs w:val="24"/>
                      <w:highlight w:val="none"/>
                      <w:lang w:eastAsia="zh-CN"/>
                    </w:rPr>
                  </w:pPr>
                  <w:r>
                    <w:rPr>
                      <w:rFonts w:hint="eastAsia" w:ascii="宋体" w:hAnsi="宋体" w:eastAsia="宋体" w:cs="Times New Roman"/>
                      <w:b w:val="0"/>
                      <w:bCs w:val="0"/>
                      <w:color w:val="auto"/>
                      <w:sz w:val="24"/>
                      <w:szCs w:val="24"/>
                      <w:highlight w:val="none"/>
                      <w:lang w:eastAsia="zh-CN"/>
                    </w:rPr>
                    <w:t>根</w:t>
                  </w:r>
                </w:p>
              </w:tc>
            </w:tr>
            <w:tr w14:paraId="3449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137" w:type="dxa"/>
                  <w:vAlign w:val="center"/>
                </w:tcPr>
                <w:p w14:paraId="7C2858D6">
                  <w:pPr>
                    <w:spacing w:line="380" w:lineRule="exact"/>
                    <w:rPr>
                      <w:rFonts w:ascii="宋体" w:hAnsi="宋体" w:eastAsia="宋体" w:cs="Times New Roman"/>
                      <w:b w:val="0"/>
                      <w:bCs w:val="0"/>
                      <w:color w:val="auto"/>
                      <w:sz w:val="24"/>
                      <w:szCs w:val="24"/>
                      <w:highlight w:val="none"/>
                    </w:rPr>
                  </w:pPr>
                  <w:r>
                    <w:rPr>
                      <w:rFonts w:hint="eastAsia" w:ascii="宋体" w:hAnsi="宋体"/>
                      <w:szCs w:val="21"/>
                      <w:lang w:val="en-US" w:eastAsia="zh-CN"/>
                    </w:rPr>
                    <w:t>3</w:t>
                  </w:r>
                </w:p>
              </w:tc>
              <w:tc>
                <w:tcPr>
                  <w:tcW w:w="4005" w:type="dxa"/>
                  <w:vAlign w:val="top"/>
                </w:tcPr>
                <w:p w14:paraId="41E66626">
                  <w:pPr>
                    <w:widowControl/>
                    <w:jc w:val="left"/>
                    <w:rPr>
                      <w:rFonts w:ascii="宋体" w:hAnsi="宋体" w:eastAsia="宋体" w:cs="Times New Roman"/>
                      <w:b w:val="0"/>
                      <w:bCs w:val="0"/>
                      <w:color w:val="auto"/>
                      <w:sz w:val="24"/>
                      <w:szCs w:val="24"/>
                      <w:highlight w:val="none"/>
                    </w:rPr>
                  </w:pPr>
                  <w:r>
                    <w:rPr>
                      <w:rFonts w:hint="eastAsia" w:ascii="宋体" w:hAnsi="宋体" w:cs="宋体"/>
                      <w:color w:val="000000"/>
                      <w:kern w:val="0"/>
                      <w:sz w:val="24"/>
                    </w:rPr>
                    <w:t>氧气软管</w:t>
                  </w:r>
                </w:p>
              </w:tc>
              <w:tc>
                <w:tcPr>
                  <w:tcW w:w="600" w:type="dxa"/>
                  <w:vAlign w:val="center"/>
                </w:tcPr>
                <w:p w14:paraId="20AFC9D4">
                  <w:pPr>
                    <w:spacing w:line="400" w:lineRule="exact"/>
                    <w:jc w:val="center"/>
                    <w:rPr>
                      <w:rFonts w:ascii="宋体" w:hAnsi="宋体" w:eastAsia="宋体" w:cs="Times New Roman"/>
                      <w:b w:val="0"/>
                      <w:bCs w:val="0"/>
                      <w:color w:val="auto"/>
                      <w:sz w:val="24"/>
                      <w:szCs w:val="24"/>
                      <w:highlight w:val="none"/>
                    </w:rPr>
                  </w:pPr>
                  <w:r>
                    <w:rPr>
                      <w:rFonts w:hint="eastAsia" w:ascii="宋体" w:hAnsi="宋体" w:eastAsia="宋体" w:cs="Times New Roman"/>
                      <w:b w:val="0"/>
                      <w:bCs w:val="0"/>
                      <w:color w:val="auto"/>
                      <w:sz w:val="24"/>
                      <w:szCs w:val="24"/>
                      <w:highlight w:val="none"/>
                      <w:lang w:val="en-US" w:eastAsia="zh-CN"/>
                    </w:rPr>
                    <w:t>3</w:t>
                  </w:r>
                </w:p>
              </w:tc>
              <w:tc>
                <w:tcPr>
                  <w:tcW w:w="1200" w:type="dxa"/>
                  <w:vAlign w:val="center"/>
                </w:tcPr>
                <w:p w14:paraId="2EF55F31">
                  <w:pPr>
                    <w:spacing w:line="400" w:lineRule="exact"/>
                    <w:jc w:val="center"/>
                    <w:rPr>
                      <w:rFonts w:ascii="宋体" w:hAnsi="宋体" w:eastAsia="宋体" w:cs="Times New Roman"/>
                      <w:b w:val="0"/>
                      <w:bCs w:val="0"/>
                      <w:color w:val="auto"/>
                      <w:sz w:val="24"/>
                      <w:szCs w:val="24"/>
                      <w:highlight w:val="none"/>
                    </w:rPr>
                  </w:pPr>
                  <w:r>
                    <w:rPr>
                      <w:rFonts w:hint="eastAsia" w:ascii="宋体" w:hAnsi="宋体" w:eastAsia="宋体" w:cs="Times New Roman"/>
                      <w:b w:val="0"/>
                      <w:bCs w:val="0"/>
                      <w:color w:val="auto"/>
                      <w:sz w:val="24"/>
                      <w:szCs w:val="24"/>
                      <w:highlight w:val="none"/>
                      <w:lang w:eastAsia="zh-CN"/>
                    </w:rPr>
                    <w:t>根</w:t>
                  </w:r>
                </w:p>
              </w:tc>
            </w:tr>
            <w:tr w14:paraId="36694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137" w:type="dxa"/>
                  <w:vAlign w:val="center"/>
                </w:tcPr>
                <w:p w14:paraId="18EC006E">
                  <w:pPr>
                    <w:spacing w:line="380" w:lineRule="exact"/>
                    <w:rPr>
                      <w:rFonts w:ascii="宋体" w:hAnsi="宋体" w:eastAsia="宋体" w:cs="Times New Roman"/>
                      <w:b w:val="0"/>
                      <w:bCs w:val="0"/>
                      <w:color w:val="auto"/>
                      <w:sz w:val="24"/>
                      <w:szCs w:val="24"/>
                      <w:highlight w:val="none"/>
                    </w:rPr>
                  </w:pPr>
                  <w:r>
                    <w:rPr>
                      <w:rFonts w:hint="eastAsia" w:ascii="宋体" w:hAnsi="宋体"/>
                      <w:szCs w:val="21"/>
                      <w:lang w:val="en-US" w:eastAsia="zh-CN"/>
                    </w:rPr>
                    <w:t>4</w:t>
                  </w:r>
                </w:p>
              </w:tc>
              <w:tc>
                <w:tcPr>
                  <w:tcW w:w="4005" w:type="dxa"/>
                  <w:vAlign w:val="top"/>
                </w:tcPr>
                <w:p w14:paraId="6F8B747F">
                  <w:pPr>
                    <w:widowControl/>
                    <w:jc w:val="left"/>
                    <w:rPr>
                      <w:rFonts w:ascii="宋体" w:hAnsi="宋体" w:eastAsia="宋体" w:cs="Times New Roman"/>
                      <w:b w:val="0"/>
                      <w:bCs w:val="0"/>
                      <w:color w:val="auto"/>
                      <w:sz w:val="24"/>
                      <w:szCs w:val="24"/>
                      <w:highlight w:val="none"/>
                    </w:rPr>
                  </w:pPr>
                  <w:r>
                    <w:rPr>
                      <w:rFonts w:hint="eastAsia" w:ascii="宋体" w:hAnsi="宋体" w:cs="宋体"/>
                      <w:color w:val="000000"/>
                      <w:kern w:val="0"/>
                      <w:sz w:val="24"/>
                    </w:rPr>
                    <w:t>一次性附件包</w:t>
                  </w:r>
                </w:p>
              </w:tc>
              <w:tc>
                <w:tcPr>
                  <w:tcW w:w="600" w:type="dxa"/>
                  <w:vAlign w:val="center"/>
                </w:tcPr>
                <w:p w14:paraId="5E3BF728">
                  <w:pPr>
                    <w:spacing w:line="400" w:lineRule="exact"/>
                    <w:jc w:val="center"/>
                    <w:rPr>
                      <w:rFonts w:ascii="宋体" w:hAnsi="宋体" w:eastAsia="宋体" w:cs="Times New Roman"/>
                      <w:b w:val="0"/>
                      <w:bCs w:val="0"/>
                      <w:color w:val="auto"/>
                      <w:sz w:val="24"/>
                      <w:szCs w:val="24"/>
                      <w:highlight w:val="none"/>
                    </w:rPr>
                  </w:pPr>
                  <w:r>
                    <w:rPr>
                      <w:rFonts w:hint="eastAsia" w:ascii="宋体" w:hAnsi="宋体" w:eastAsia="宋体" w:cs="Times New Roman"/>
                      <w:b w:val="0"/>
                      <w:bCs w:val="0"/>
                      <w:color w:val="auto"/>
                      <w:sz w:val="24"/>
                      <w:szCs w:val="24"/>
                      <w:highlight w:val="none"/>
                      <w:lang w:val="en-US" w:eastAsia="zh-CN"/>
                    </w:rPr>
                    <w:t>3</w:t>
                  </w:r>
                </w:p>
              </w:tc>
              <w:tc>
                <w:tcPr>
                  <w:tcW w:w="1200" w:type="dxa"/>
                  <w:vAlign w:val="center"/>
                </w:tcPr>
                <w:p w14:paraId="42C36E7B">
                  <w:pPr>
                    <w:spacing w:line="400" w:lineRule="exact"/>
                    <w:jc w:val="center"/>
                    <w:rPr>
                      <w:rFonts w:ascii="宋体" w:hAnsi="宋体" w:eastAsia="宋体" w:cs="Times New Roman"/>
                      <w:b w:val="0"/>
                      <w:bCs w:val="0"/>
                      <w:color w:val="auto"/>
                      <w:sz w:val="24"/>
                      <w:szCs w:val="24"/>
                      <w:highlight w:val="none"/>
                    </w:rPr>
                  </w:pPr>
                  <w:r>
                    <w:rPr>
                      <w:rFonts w:hint="eastAsia" w:ascii="宋体" w:hAnsi="宋体" w:eastAsia="宋体" w:cs="Times New Roman"/>
                      <w:b w:val="0"/>
                      <w:bCs w:val="0"/>
                      <w:color w:val="auto"/>
                      <w:sz w:val="24"/>
                      <w:szCs w:val="24"/>
                      <w:highlight w:val="none"/>
                    </w:rPr>
                    <w:t>套</w:t>
                  </w:r>
                </w:p>
              </w:tc>
            </w:tr>
            <w:tr w14:paraId="30C89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137" w:type="dxa"/>
                  <w:vAlign w:val="center"/>
                </w:tcPr>
                <w:p w14:paraId="49147074">
                  <w:pPr>
                    <w:spacing w:line="380" w:lineRule="exact"/>
                    <w:rPr>
                      <w:rFonts w:ascii="宋体" w:hAnsi="宋体" w:eastAsia="宋体" w:cs="Times New Roman"/>
                      <w:b w:val="0"/>
                      <w:bCs w:val="0"/>
                      <w:color w:val="auto"/>
                      <w:sz w:val="24"/>
                      <w:szCs w:val="24"/>
                      <w:highlight w:val="none"/>
                    </w:rPr>
                  </w:pPr>
                  <w:r>
                    <w:rPr>
                      <w:rFonts w:hint="eastAsia" w:ascii="宋体" w:hAnsi="宋体"/>
                      <w:szCs w:val="21"/>
                      <w:lang w:val="en-US" w:eastAsia="zh-CN"/>
                    </w:rPr>
                    <w:t>5</w:t>
                  </w:r>
                </w:p>
              </w:tc>
              <w:tc>
                <w:tcPr>
                  <w:tcW w:w="4005" w:type="dxa"/>
                  <w:vAlign w:val="top"/>
                </w:tcPr>
                <w:p w14:paraId="3877BFFB">
                  <w:pPr>
                    <w:widowControl/>
                    <w:jc w:val="left"/>
                    <w:rPr>
                      <w:rFonts w:ascii="宋体" w:hAnsi="宋体" w:eastAsia="宋体" w:cs="Times New Roman"/>
                      <w:b w:val="0"/>
                      <w:bCs w:val="0"/>
                      <w:color w:val="auto"/>
                      <w:sz w:val="24"/>
                      <w:szCs w:val="24"/>
                      <w:highlight w:val="none"/>
                    </w:rPr>
                  </w:pPr>
                  <w:r>
                    <w:rPr>
                      <w:rFonts w:hint="eastAsia" w:ascii="宋体" w:hAnsi="宋体" w:cs="宋体"/>
                      <w:color w:val="000000"/>
                      <w:kern w:val="0"/>
                      <w:sz w:val="24"/>
                    </w:rPr>
                    <w:t>呼气阀流量传感器</w:t>
                  </w:r>
                </w:p>
              </w:tc>
              <w:tc>
                <w:tcPr>
                  <w:tcW w:w="600" w:type="dxa"/>
                  <w:vAlign w:val="center"/>
                </w:tcPr>
                <w:p w14:paraId="670B3338">
                  <w:pPr>
                    <w:spacing w:line="400" w:lineRule="exact"/>
                    <w:jc w:val="center"/>
                    <w:rPr>
                      <w:rFonts w:ascii="宋体" w:hAnsi="宋体" w:eastAsia="宋体" w:cs="Times New Roman"/>
                      <w:b w:val="0"/>
                      <w:bCs w:val="0"/>
                      <w:color w:val="auto"/>
                      <w:sz w:val="24"/>
                      <w:szCs w:val="24"/>
                      <w:highlight w:val="none"/>
                    </w:rPr>
                  </w:pPr>
                  <w:r>
                    <w:rPr>
                      <w:rFonts w:hint="eastAsia" w:ascii="宋体" w:hAnsi="宋体" w:eastAsia="宋体" w:cs="Times New Roman"/>
                      <w:b w:val="0"/>
                      <w:bCs w:val="0"/>
                      <w:color w:val="auto"/>
                      <w:sz w:val="24"/>
                      <w:szCs w:val="24"/>
                      <w:highlight w:val="none"/>
                      <w:lang w:val="en-US" w:eastAsia="zh-CN"/>
                    </w:rPr>
                    <w:t>3</w:t>
                  </w:r>
                </w:p>
              </w:tc>
              <w:tc>
                <w:tcPr>
                  <w:tcW w:w="1200" w:type="dxa"/>
                  <w:vAlign w:val="center"/>
                </w:tcPr>
                <w:p w14:paraId="6BCD7440">
                  <w:pPr>
                    <w:spacing w:line="400" w:lineRule="exact"/>
                    <w:jc w:val="center"/>
                    <w:rPr>
                      <w:rFonts w:ascii="宋体" w:hAnsi="宋体" w:eastAsia="宋体" w:cs="Times New Roman"/>
                      <w:b w:val="0"/>
                      <w:bCs w:val="0"/>
                      <w:color w:val="auto"/>
                      <w:sz w:val="24"/>
                      <w:szCs w:val="24"/>
                      <w:highlight w:val="none"/>
                    </w:rPr>
                  </w:pPr>
                  <w:r>
                    <w:rPr>
                      <w:rFonts w:ascii="宋体" w:hAnsi="宋体" w:eastAsia="宋体" w:cs="Times New Roman"/>
                      <w:b w:val="0"/>
                      <w:bCs w:val="0"/>
                      <w:color w:val="auto"/>
                      <w:sz w:val="24"/>
                      <w:szCs w:val="24"/>
                      <w:highlight w:val="none"/>
                    </w:rPr>
                    <w:t>套</w:t>
                  </w:r>
                </w:p>
              </w:tc>
            </w:tr>
            <w:tr w14:paraId="3F450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137" w:type="dxa"/>
                  <w:vAlign w:val="center"/>
                </w:tcPr>
                <w:p w14:paraId="601C52FA">
                  <w:pPr>
                    <w:spacing w:line="380" w:lineRule="exact"/>
                    <w:rPr>
                      <w:rFonts w:hint="eastAsia" w:ascii="宋体" w:hAnsi="宋体" w:eastAsia="宋体" w:cs="Times New Roman"/>
                      <w:b w:val="0"/>
                      <w:bCs w:val="0"/>
                      <w:color w:val="auto"/>
                      <w:sz w:val="24"/>
                      <w:szCs w:val="24"/>
                      <w:highlight w:val="none"/>
                      <w:lang w:eastAsia="zh-CN"/>
                    </w:rPr>
                  </w:pPr>
                  <w:r>
                    <w:rPr>
                      <w:rFonts w:hint="eastAsia" w:ascii="宋体" w:hAnsi="宋体"/>
                      <w:szCs w:val="21"/>
                      <w:lang w:val="en-US" w:eastAsia="zh-CN"/>
                    </w:rPr>
                    <w:t>6</w:t>
                  </w:r>
                </w:p>
              </w:tc>
              <w:tc>
                <w:tcPr>
                  <w:tcW w:w="4005" w:type="dxa"/>
                  <w:vAlign w:val="top"/>
                </w:tcPr>
                <w:p w14:paraId="61C33636">
                  <w:pPr>
                    <w:widowControl/>
                    <w:jc w:val="left"/>
                    <w:rPr>
                      <w:rFonts w:ascii="宋体" w:hAnsi="宋体" w:eastAsia="宋体" w:cs="Times New Roman"/>
                      <w:b w:val="0"/>
                      <w:bCs w:val="0"/>
                      <w:color w:val="auto"/>
                      <w:sz w:val="24"/>
                      <w:szCs w:val="24"/>
                      <w:highlight w:val="none"/>
                    </w:rPr>
                  </w:pPr>
                  <w:r>
                    <w:rPr>
                      <w:rFonts w:hint="eastAsia" w:ascii="宋体" w:hAnsi="宋体" w:cs="宋体"/>
                      <w:color w:val="000000"/>
                      <w:kern w:val="0"/>
                      <w:sz w:val="24"/>
                    </w:rPr>
                    <w:t>支撑臂</w:t>
                  </w:r>
                </w:p>
              </w:tc>
              <w:tc>
                <w:tcPr>
                  <w:tcW w:w="600" w:type="dxa"/>
                  <w:vAlign w:val="center"/>
                </w:tcPr>
                <w:p w14:paraId="3152F0F3">
                  <w:pPr>
                    <w:spacing w:line="400" w:lineRule="exact"/>
                    <w:jc w:val="center"/>
                    <w:rPr>
                      <w:rFonts w:ascii="宋体" w:hAnsi="宋体" w:eastAsia="宋体" w:cs="Times New Roman"/>
                      <w:b w:val="0"/>
                      <w:bCs w:val="0"/>
                      <w:color w:val="auto"/>
                      <w:sz w:val="24"/>
                      <w:szCs w:val="24"/>
                      <w:highlight w:val="none"/>
                    </w:rPr>
                  </w:pPr>
                  <w:r>
                    <w:rPr>
                      <w:rFonts w:hint="eastAsia" w:ascii="宋体" w:hAnsi="宋体" w:eastAsia="宋体" w:cs="Times New Roman"/>
                      <w:b w:val="0"/>
                      <w:bCs w:val="0"/>
                      <w:color w:val="auto"/>
                      <w:sz w:val="24"/>
                      <w:szCs w:val="24"/>
                      <w:highlight w:val="none"/>
                      <w:lang w:val="en-US" w:eastAsia="zh-CN"/>
                    </w:rPr>
                    <w:t>3</w:t>
                  </w:r>
                </w:p>
              </w:tc>
              <w:tc>
                <w:tcPr>
                  <w:tcW w:w="1200" w:type="dxa"/>
                  <w:vAlign w:val="center"/>
                </w:tcPr>
                <w:p w14:paraId="7B3C05C8">
                  <w:pPr>
                    <w:spacing w:line="400" w:lineRule="exact"/>
                    <w:jc w:val="center"/>
                    <w:rPr>
                      <w:rFonts w:hint="eastAsia" w:ascii="宋体" w:hAnsi="宋体" w:eastAsia="宋体" w:cs="Times New Roman"/>
                      <w:b w:val="0"/>
                      <w:bCs w:val="0"/>
                      <w:color w:val="auto"/>
                      <w:sz w:val="24"/>
                      <w:szCs w:val="24"/>
                      <w:highlight w:val="none"/>
                      <w:lang w:eastAsia="zh-CN"/>
                    </w:rPr>
                  </w:pPr>
                  <w:r>
                    <w:rPr>
                      <w:rFonts w:hint="eastAsia" w:ascii="宋体" w:hAnsi="宋体" w:eastAsia="宋体" w:cs="Times New Roman"/>
                      <w:b w:val="0"/>
                      <w:bCs w:val="0"/>
                      <w:color w:val="auto"/>
                      <w:sz w:val="24"/>
                      <w:szCs w:val="24"/>
                      <w:highlight w:val="none"/>
                      <w:lang w:eastAsia="zh-CN"/>
                    </w:rPr>
                    <w:t>根</w:t>
                  </w:r>
                </w:p>
              </w:tc>
            </w:tr>
            <w:tr w14:paraId="4E7A9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137" w:type="dxa"/>
                  <w:vAlign w:val="center"/>
                </w:tcPr>
                <w:p w14:paraId="511B2F38">
                  <w:pPr>
                    <w:spacing w:line="380" w:lineRule="exact"/>
                    <w:rPr>
                      <w:rFonts w:hint="default" w:ascii="宋体" w:hAnsi="宋体" w:eastAsia="宋体" w:cs="Times New Roman"/>
                      <w:b w:val="0"/>
                      <w:bCs w:val="0"/>
                      <w:color w:val="auto"/>
                      <w:sz w:val="24"/>
                      <w:szCs w:val="24"/>
                      <w:highlight w:val="none"/>
                      <w:lang w:val="en-US" w:eastAsia="zh-CN"/>
                    </w:rPr>
                  </w:pPr>
                  <w:r>
                    <w:rPr>
                      <w:rFonts w:hint="eastAsia" w:ascii="宋体" w:hAnsi="宋体"/>
                      <w:szCs w:val="21"/>
                      <w:lang w:val="en-US" w:eastAsia="zh-CN"/>
                    </w:rPr>
                    <w:t>7</w:t>
                  </w:r>
                </w:p>
              </w:tc>
              <w:tc>
                <w:tcPr>
                  <w:tcW w:w="4005" w:type="dxa"/>
                  <w:vAlign w:val="top"/>
                </w:tcPr>
                <w:p w14:paraId="25FC8EFF">
                  <w:pPr>
                    <w:widowControl/>
                    <w:jc w:val="left"/>
                    <w:rPr>
                      <w:rFonts w:hint="eastAsia" w:ascii="宋体" w:hAnsi="宋体" w:eastAsia="宋体"/>
                      <w:b w:val="0"/>
                      <w:bCs w:val="0"/>
                      <w:color w:val="auto"/>
                      <w:kern w:val="0"/>
                      <w:sz w:val="24"/>
                      <w:szCs w:val="24"/>
                      <w:highlight w:val="none"/>
                    </w:rPr>
                  </w:pPr>
                  <w:r>
                    <w:rPr>
                      <w:rFonts w:hint="eastAsia" w:ascii="宋体" w:hAnsi="宋体" w:cs="宋体"/>
                      <w:color w:val="000000"/>
                      <w:kern w:val="0"/>
                      <w:sz w:val="24"/>
                    </w:rPr>
                    <w:t>锂电池</w:t>
                  </w:r>
                </w:p>
              </w:tc>
              <w:tc>
                <w:tcPr>
                  <w:tcW w:w="600" w:type="dxa"/>
                  <w:vAlign w:val="center"/>
                </w:tcPr>
                <w:p w14:paraId="01299731">
                  <w:pPr>
                    <w:spacing w:line="400" w:lineRule="exact"/>
                    <w:jc w:val="center"/>
                    <w:rPr>
                      <w:rFonts w:hint="eastAsia" w:ascii="宋体" w:hAnsi="宋体" w:eastAsia="宋体" w:cs="Times New Roman"/>
                      <w:b w:val="0"/>
                      <w:bCs w:val="0"/>
                      <w:color w:val="auto"/>
                      <w:sz w:val="24"/>
                      <w:szCs w:val="24"/>
                      <w:highlight w:val="none"/>
                      <w:lang w:val="en-US" w:eastAsia="zh-CN"/>
                    </w:rPr>
                  </w:pPr>
                  <w:r>
                    <w:rPr>
                      <w:rFonts w:hint="eastAsia" w:ascii="宋体" w:hAnsi="宋体" w:eastAsia="宋体" w:cs="Times New Roman"/>
                      <w:b w:val="0"/>
                      <w:bCs w:val="0"/>
                      <w:color w:val="auto"/>
                      <w:sz w:val="24"/>
                      <w:szCs w:val="24"/>
                      <w:highlight w:val="none"/>
                      <w:lang w:val="en-US" w:eastAsia="zh-CN"/>
                    </w:rPr>
                    <w:t>3</w:t>
                  </w:r>
                </w:p>
              </w:tc>
              <w:tc>
                <w:tcPr>
                  <w:tcW w:w="1200" w:type="dxa"/>
                  <w:vAlign w:val="center"/>
                </w:tcPr>
                <w:p w14:paraId="0A7B0FDF">
                  <w:pPr>
                    <w:spacing w:line="400" w:lineRule="exact"/>
                    <w:jc w:val="center"/>
                    <w:rPr>
                      <w:rFonts w:hint="eastAsia" w:ascii="宋体" w:hAnsi="宋体" w:eastAsia="宋体" w:cs="Times New Roman"/>
                      <w:b w:val="0"/>
                      <w:bCs w:val="0"/>
                      <w:color w:val="auto"/>
                      <w:sz w:val="24"/>
                      <w:szCs w:val="24"/>
                      <w:highlight w:val="none"/>
                      <w:lang w:eastAsia="zh-CN"/>
                    </w:rPr>
                  </w:pPr>
                  <w:r>
                    <w:rPr>
                      <w:rFonts w:hint="eastAsia" w:ascii="宋体" w:hAnsi="宋体" w:eastAsia="宋体" w:cs="Times New Roman"/>
                      <w:b w:val="0"/>
                      <w:bCs w:val="0"/>
                      <w:color w:val="auto"/>
                      <w:sz w:val="24"/>
                      <w:szCs w:val="24"/>
                      <w:highlight w:val="none"/>
                      <w:lang w:eastAsia="zh-CN"/>
                    </w:rPr>
                    <w:t>块</w:t>
                  </w:r>
                </w:p>
              </w:tc>
            </w:tr>
            <w:tr w14:paraId="22421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137" w:type="dxa"/>
                  <w:vAlign w:val="center"/>
                </w:tcPr>
                <w:p w14:paraId="23C9E179">
                  <w:pPr>
                    <w:spacing w:line="380" w:lineRule="exact"/>
                    <w:rPr>
                      <w:rFonts w:hint="eastAsia" w:ascii="宋体" w:hAnsi="宋体" w:eastAsia="宋体" w:cs="Times New Roman"/>
                      <w:b w:val="0"/>
                      <w:bCs w:val="0"/>
                      <w:color w:val="auto"/>
                      <w:sz w:val="24"/>
                      <w:szCs w:val="24"/>
                      <w:highlight w:val="none"/>
                      <w:lang w:val="en-US" w:eastAsia="zh-CN"/>
                    </w:rPr>
                  </w:pPr>
                  <w:r>
                    <w:rPr>
                      <w:rFonts w:hint="eastAsia" w:ascii="宋体" w:hAnsi="宋体"/>
                      <w:szCs w:val="21"/>
                      <w:lang w:val="en-US" w:eastAsia="zh-CN"/>
                    </w:rPr>
                    <w:t>8</w:t>
                  </w:r>
                </w:p>
              </w:tc>
              <w:tc>
                <w:tcPr>
                  <w:tcW w:w="4005" w:type="dxa"/>
                  <w:vAlign w:val="top"/>
                </w:tcPr>
                <w:p w14:paraId="7A5BC65B">
                  <w:pPr>
                    <w:widowControl/>
                    <w:jc w:val="left"/>
                    <w:rPr>
                      <w:rFonts w:hint="eastAsia" w:ascii="宋体" w:hAnsi="宋体" w:eastAsia="宋体"/>
                      <w:b w:val="0"/>
                      <w:bCs w:val="0"/>
                      <w:color w:val="auto"/>
                      <w:kern w:val="0"/>
                      <w:sz w:val="24"/>
                      <w:szCs w:val="24"/>
                      <w:highlight w:val="none"/>
                    </w:rPr>
                  </w:pPr>
                  <w:r>
                    <w:rPr>
                      <w:rFonts w:hint="eastAsia" w:ascii="宋体" w:hAnsi="宋体" w:cs="宋体"/>
                      <w:color w:val="000000"/>
                      <w:kern w:val="0"/>
                      <w:sz w:val="24"/>
                    </w:rPr>
                    <w:t>台车</w:t>
                  </w:r>
                </w:p>
              </w:tc>
              <w:tc>
                <w:tcPr>
                  <w:tcW w:w="600" w:type="dxa"/>
                  <w:vAlign w:val="center"/>
                </w:tcPr>
                <w:p w14:paraId="2D63803F">
                  <w:pPr>
                    <w:spacing w:line="400" w:lineRule="exact"/>
                    <w:jc w:val="center"/>
                    <w:rPr>
                      <w:rFonts w:hint="eastAsia" w:ascii="宋体" w:hAnsi="宋体" w:eastAsia="宋体" w:cs="Times New Roman"/>
                      <w:b w:val="0"/>
                      <w:bCs w:val="0"/>
                      <w:color w:val="auto"/>
                      <w:sz w:val="24"/>
                      <w:szCs w:val="24"/>
                      <w:highlight w:val="none"/>
                      <w:lang w:val="en-US" w:eastAsia="zh-CN"/>
                    </w:rPr>
                  </w:pPr>
                  <w:r>
                    <w:rPr>
                      <w:rFonts w:hint="eastAsia" w:ascii="宋体" w:hAnsi="宋体" w:eastAsia="宋体" w:cs="Times New Roman"/>
                      <w:b w:val="0"/>
                      <w:bCs w:val="0"/>
                      <w:color w:val="auto"/>
                      <w:sz w:val="24"/>
                      <w:szCs w:val="24"/>
                      <w:highlight w:val="none"/>
                      <w:lang w:val="en-US" w:eastAsia="zh-CN"/>
                    </w:rPr>
                    <w:t>3</w:t>
                  </w:r>
                </w:p>
              </w:tc>
              <w:tc>
                <w:tcPr>
                  <w:tcW w:w="1200" w:type="dxa"/>
                  <w:vAlign w:val="center"/>
                </w:tcPr>
                <w:p w14:paraId="35B462B6">
                  <w:pPr>
                    <w:spacing w:line="400" w:lineRule="exact"/>
                    <w:jc w:val="center"/>
                    <w:rPr>
                      <w:rFonts w:hint="eastAsia" w:ascii="宋体" w:hAnsi="宋体" w:eastAsia="宋体" w:cs="Times New Roman"/>
                      <w:b w:val="0"/>
                      <w:bCs w:val="0"/>
                      <w:color w:val="auto"/>
                      <w:sz w:val="24"/>
                      <w:szCs w:val="24"/>
                      <w:highlight w:val="none"/>
                      <w:lang w:eastAsia="zh-CN"/>
                    </w:rPr>
                  </w:pPr>
                  <w:r>
                    <w:rPr>
                      <w:rFonts w:hint="eastAsia" w:ascii="宋体" w:hAnsi="宋体" w:eastAsia="宋体" w:cs="Times New Roman"/>
                      <w:b w:val="0"/>
                      <w:bCs w:val="0"/>
                      <w:color w:val="auto"/>
                      <w:sz w:val="24"/>
                      <w:szCs w:val="24"/>
                      <w:highlight w:val="none"/>
                      <w:lang w:eastAsia="zh-CN"/>
                    </w:rPr>
                    <w:t>台</w:t>
                  </w:r>
                </w:p>
              </w:tc>
            </w:tr>
          </w:tbl>
          <w:p w14:paraId="67151642">
            <w:pPr>
              <w:rPr>
                <w:rFonts w:hint="eastAsia"/>
              </w:rPr>
            </w:pPr>
          </w:p>
          <w:p w14:paraId="0F38DBD9">
            <w:pPr>
              <w:rPr>
                <w:rFonts w:hint="eastAsia"/>
              </w:rPr>
            </w:pPr>
          </w:p>
          <w:p w14:paraId="75EA0367">
            <w:pPr>
              <w:rPr>
                <w:rFonts w:hint="eastAsia"/>
              </w:rPr>
            </w:pPr>
          </w:p>
          <w:p w14:paraId="58014797">
            <w:pPr>
              <w:rPr>
                <w:rFonts w:hint="eastAsia"/>
                <w:lang w:eastAsia="zh-CN"/>
              </w:rPr>
            </w:pPr>
          </w:p>
        </w:tc>
      </w:tr>
      <w:tr w14:paraId="3C693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0" w:hRule="atLeast"/>
        </w:trPr>
        <w:tc>
          <w:tcPr>
            <w:tcW w:w="474" w:type="dxa"/>
            <w:vAlign w:val="center"/>
          </w:tcPr>
          <w:p w14:paraId="5E1A6CE3">
            <w:pPr>
              <w:adjustRightInd/>
              <w:snapToGrid/>
              <w:spacing w:line="360" w:lineRule="auto"/>
              <w:jc w:val="center"/>
              <w:rPr>
                <w:rFonts w:hint="eastAsia" w:ascii="宋体" w:hAnsi="宋体" w:eastAsia="宋体" w:cs="宋体"/>
                <w:b/>
                <w:color w:val="000000"/>
                <w:sz w:val="21"/>
                <w:szCs w:val="21"/>
                <w:lang w:val="en-US" w:eastAsia="zh-CN"/>
              </w:rPr>
            </w:pPr>
          </w:p>
        </w:tc>
        <w:tc>
          <w:tcPr>
            <w:tcW w:w="1125" w:type="dxa"/>
            <w:vAlign w:val="center"/>
          </w:tcPr>
          <w:p w14:paraId="1A185917">
            <w:pPr>
              <w:adjustRightInd/>
              <w:snapToGrid/>
              <w:spacing w:line="360" w:lineRule="auto"/>
              <w:jc w:val="center"/>
              <w:rPr>
                <w:rStyle w:val="5"/>
                <w:rFonts w:hint="eastAsia" w:ascii="Segoe UI" w:hAnsi="Segoe UI" w:eastAsia="宋体" w:cs="Segoe UI"/>
                <w:b/>
                <w:i w:val="0"/>
                <w:caps w:val="0"/>
                <w:color w:val="000000"/>
                <w:spacing w:val="0"/>
                <w:sz w:val="24"/>
                <w:szCs w:val="24"/>
                <w:shd w:val="clear" w:fill="FFFFFF"/>
                <w:lang w:eastAsia="zh-CN"/>
              </w:rPr>
            </w:pPr>
            <w:r>
              <w:rPr>
                <w:rStyle w:val="5"/>
                <w:rFonts w:hint="eastAsia" w:ascii="Segoe UI" w:hAnsi="Segoe UI" w:eastAsia="宋体" w:cs="Segoe UI"/>
                <w:b/>
                <w:i w:val="0"/>
                <w:caps w:val="0"/>
                <w:color w:val="000000"/>
                <w:spacing w:val="0"/>
                <w:sz w:val="24"/>
                <w:szCs w:val="24"/>
                <w:shd w:val="clear" w:fill="FFFFFF"/>
                <w:lang w:eastAsia="zh-CN"/>
              </w:rPr>
              <w:t>总预算金额</w:t>
            </w:r>
          </w:p>
        </w:tc>
        <w:tc>
          <w:tcPr>
            <w:tcW w:w="390" w:type="dxa"/>
            <w:vAlign w:val="center"/>
          </w:tcPr>
          <w:p w14:paraId="5A146E4A">
            <w:pPr>
              <w:adjustRightInd/>
              <w:snapToGrid/>
              <w:spacing w:line="360" w:lineRule="auto"/>
              <w:jc w:val="center"/>
              <w:rPr>
                <w:rFonts w:hint="eastAsia" w:ascii="宋体" w:hAnsi="宋体" w:eastAsia="宋体" w:cs="宋体"/>
                <w:b/>
                <w:color w:val="000000"/>
                <w:sz w:val="21"/>
                <w:szCs w:val="21"/>
                <w:lang w:val="en-US" w:eastAsia="zh-CN"/>
              </w:rPr>
            </w:pPr>
          </w:p>
        </w:tc>
        <w:tc>
          <w:tcPr>
            <w:tcW w:w="8623" w:type="dxa"/>
          </w:tcPr>
          <w:p w14:paraId="678400EB">
            <w:pPr>
              <w:rPr>
                <w:rFonts w:hint="default" w:ascii="Segoe UI" w:hAnsi="Segoe UI" w:eastAsia="Segoe UI" w:cs="Segoe UI"/>
                <w:i w:val="0"/>
                <w:caps w:val="0"/>
                <w:spacing w:val="0"/>
                <w:sz w:val="24"/>
                <w:szCs w:val="24"/>
                <w:shd w:val="clear" w:fill="FFFFFF"/>
                <w:lang w:val="en-US" w:eastAsia="zh-CN"/>
              </w:rPr>
            </w:pPr>
            <w:r>
              <w:rPr>
                <w:rFonts w:hint="eastAsia" w:ascii="Segoe UI" w:hAnsi="Segoe UI" w:eastAsia="Segoe UI" w:cs="Segoe UI"/>
                <w:i w:val="0"/>
                <w:caps w:val="0"/>
                <w:spacing w:val="0"/>
                <w:sz w:val="24"/>
                <w:szCs w:val="24"/>
                <w:shd w:val="clear" w:fill="FFFFFF"/>
                <w:lang w:val="en-US" w:eastAsia="zh-CN"/>
              </w:rPr>
              <w:t>360000元</w:t>
            </w:r>
          </w:p>
        </w:tc>
      </w:tr>
    </w:tbl>
    <w:p w14:paraId="3AA741AA">
      <w:pPr>
        <w:spacing w:line="220" w:lineRule="atLeast"/>
      </w:pPr>
    </w:p>
    <w:p w14:paraId="778E2413">
      <w:bookmarkStart w:id="0" w:name="_GoBack"/>
      <w:bookmarkEnd w:id="0"/>
    </w:p>
    <w:sectPr>
      <w:pgSz w:w="11906" w:h="16838"/>
      <w:pgMar w:top="567" w:right="720" w:bottom="567"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1E84A7"/>
    <w:multiLevelType w:val="singleLevel"/>
    <w:tmpl w:val="C21E84A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6B356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Strong"/>
    <w:basedOn w:val="4"/>
    <w:qFormat/>
    <w:uiPriority w:val="22"/>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2026-09-11T08:46:55Z</dcterms:created>
  <dc:creator>Administrator</dc:creator>
  <cp:lastModifiedBy>三少</cp:lastModifiedBy>
  <dcterms:modified xsi:type="dcterms:W3CDTF">2026-09-11T08:47:05Z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eyJoZGlkIjoiM2ExMTY2ZDBlMTI3NjFiYmZmNDBjNWI5OTk3MTViMTIiLCJ1c2VySWQiOiIzODM0Njk2NjgifQ==</vt:lpwstr>
  </property>
  <property fmtid="{D5CDD505-2E9C-101B-9397-08002B2CF9AE}" pid="4" name="ICV">
    <vt:lpwstr>4B2F07EC37E7482784BCD70EC60C62DE_12</vt:lpwstr>
  </property>
</Properties>
</file>