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EE071">
      <w:pPr>
        <w:spacing w:line="220" w:lineRule="atLeast"/>
        <w:rPr>
          <w:rFonts w:hint="eastAsia" w:ascii="宋体" w:hAnsi="宋体" w:eastAsia="宋体" w:cs="宋体"/>
          <w:b/>
          <w:bCs/>
          <w:sz w:val="32"/>
        </w:rPr>
      </w:pPr>
      <w:r>
        <w:rPr>
          <w:rFonts w:hint="eastAsia" w:ascii="宋体" w:hAnsi="宋体" w:eastAsia="宋体" w:cs="宋体"/>
          <w:b/>
          <w:bCs/>
          <w:sz w:val="32"/>
        </w:rPr>
        <w:t>附表：</w:t>
      </w:r>
    </w:p>
    <w:p w14:paraId="4265FA30">
      <w:pPr>
        <w:spacing w:line="440" w:lineRule="exact"/>
        <w:jc w:val="center"/>
        <w:rPr>
          <w:rFonts w:hint="eastAsia" w:ascii="宋体" w:hAnsi="宋体"/>
          <w:b/>
          <w:color w:val="000000"/>
          <w:szCs w:val="21"/>
        </w:rPr>
      </w:pPr>
      <w:r>
        <w:rPr>
          <w:rFonts w:hint="eastAsia" w:ascii="宋体" w:hAnsi="宋体"/>
          <w:b/>
          <w:color w:val="000000"/>
          <w:szCs w:val="21"/>
        </w:rPr>
        <w:t>货物需求一览表</w:t>
      </w:r>
    </w:p>
    <w:p w14:paraId="1817C749">
      <w:pPr>
        <w:spacing w:line="440" w:lineRule="exact"/>
        <w:rPr>
          <w:rFonts w:hint="eastAsia" w:ascii="宋体" w:hAnsi="宋体"/>
          <w:szCs w:val="21"/>
        </w:rPr>
      </w:pPr>
      <w:r>
        <w:rPr>
          <w:rFonts w:hint="eastAsia" w:ascii="宋体" w:hAnsi="宋体"/>
          <w:b/>
          <w:szCs w:val="21"/>
        </w:rPr>
        <w:t>说明：</w:t>
      </w:r>
    </w:p>
    <w:p w14:paraId="0F517EA8">
      <w:pPr>
        <w:spacing w:line="440" w:lineRule="exact"/>
        <w:ind w:firstLine="539" w:firstLineChars="245"/>
        <w:rPr>
          <w:rFonts w:hint="eastAsia" w:ascii="宋体" w:hAnsi="宋体"/>
          <w:b/>
          <w:szCs w:val="21"/>
        </w:rPr>
      </w:pPr>
      <w:r>
        <w:rPr>
          <w:rFonts w:hint="eastAsia" w:ascii="宋体" w:hAnsi="宋体"/>
          <w:b/>
          <w:szCs w:val="21"/>
        </w:rPr>
        <w:t>1、本一览表中的品牌型号、技术参数及其性能（配置）仅起参考作用，投标人可选用其他品牌型号替代，但这些替代的品牌型号要实质上相当于或优于参考品牌型号及其技术参数性能（配置）要求。</w:t>
      </w:r>
    </w:p>
    <w:p w14:paraId="017B1378">
      <w:pPr>
        <w:spacing w:line="440" w:lineRule="exact"/>
        <w:ind w:firstLine="480"/>
        <w:rPr>
          <w:rFonts w:hint="eastAsia" w:ascii="宋体" w:hAnsi="宋体"/>
          <w:b/>
          <w:szCs w:val="21"/>
        </w:rPr>
      </w:pPr>
      <w:r>
        <w:rPr>
          <w:rFonts w:hint="eastAsia" w:ascii="宋体" w:hAnsi="宋体"/>
          <w:b/>
          <w:szCs w:val="21"/>
        </w:rPr>
        <w:t>2、本一览表中参考品牌型号及技术参数及配置不明确或有误的，或投标人选有其他品牌型号替代的，请以详细正确的品牌型号、技术参数及配置同时填写投标报价表和技术规格响应表。</w:t>
      </w:r>
    </w:p>
    <w:tbl>
      <w:tblPr>
        <w:tblStyle w:val="2"/>
        <w:tblW w:w="10612"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4"/>
        <w:gridCol w:w="1125"/>
        <w:gridCol w:w="390"/>
        <w:gridCol w:w="8623"/>
      </w:tblGrid>
      <w:tr w14:paraId="4884A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tblHeader/>
        </w:trPr>
        <w:tc>
          <w:tcPr>
            <w:tcW w:w="474" w:type="dxa"/>
            <w:vAlign w:val="center"/>
          </w:tcPr>
          <w:p w14:paraId="338081B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项号</w:t>
            </w:r>
          </w:p>
        </w:tc>
        <w:tc>
          <w:tcPr>
            <w:tcW w:w="1125" w:type="dxa"/>
            <w:vAlign w:val="center"/>
          </w:tcPr>
          <w:p w14:paraId="0060318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货物名称</w:t>
            </w:r>
          </w:p>
        </w:tc>
        <w:tc>
          <w:tcPr>
            <w:tcW w:w="390" w:type="dxa"/>
            <w:vAlign w:val="center"/>
          </w:tcPr>
          <w:p w14:paraId="4802A224">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数量</w:t>
            </w:r>
          </w:p>
        </w:tc>
        <w:tc>
          <w:tcPr>
            <w:tcW w:w="8623" w:type="dxa"/>
            <w:vAlign w:val="center"/>
          </w:tcPr>
          <w:p w14:paraId="7D0E59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技术参数及性能（配置）要求</w:t>
            </w:r>
          </w:p>
        </w:tc>
      </w:tr>
      <w:tr w14:paraId="3262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6C3B4B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1</w:t>
            </w:r>
          </w:p>
        </w:tc>
        <w:tc>
          <w:tcPr>
            <w:tcW w:w="1125" w:type="dxa"/>
            <w:vAlign w:val="center"/>
          </w:tcPr>
          <w:p w14:paraId="72C6CC4F">
            <w:pPr>
              <w:adjustRightInd/>
              <w:snapToGrid/>
              <w:spacing w:line="360" w:lineRule="auto"/>
              <w:jc w:val="center"/>
              <w:rPr>
                <w:rFonts w:hint="eastAsia" w:ascii="宋体" w:hAnsi="宋体" w:eastAsia="宋体" w:cs="宋体"/>
                <w:b/>
                <w:color w:val="000000"/>
                <w:sz w:val="21"/>
                <w:szCs w:val="21"/>
              </w:rPr>
            </w:pPr>
          </w:p>
          <w:p w14:paraId="25EF526D">
            <w:pPr>
              <w:adjustRightInd/>
              <w:snapToGrid/>
              <w:spacing w:line="360" w:lineRule="auto"/>
              <w:jc w:val="center"/>
              <w:rPr>
                <w:rFonts w:hint="eastAsia" w:ascii="宋体" w:hAnsi="宋体" w:eastAsia="宋体" w:cs="宋体"/>
                <w:b/>
                <w:color w:val="000000"/>
                <w:sz w:val="21"/>
                <w:szCs w:val="21"/>
                <w:lang w:eastAsia="zh-CN"/>
              </w:rPr>
            </w:pPr>
            <w:r>
              <w:rPr>
                <w:rStyle w:val="5"/>
                <w:rFonts w:hint="eastAsia" w:ascii="Segoe UI" w:hAnsi="Segoe UI" w:eastAsia="宋体" w:cs="Segoe UI"/>
                <w:b/>
                <w:i w:val="0"/>
                <w:caps w:val="0"/>
                <w:color w:val="000000"/>
                <w:spacing w:val="0"/>
                <w:sz w:val="24"/>
                <w:szCs w:val="24"/>
                <w:shd w:val="clear" w:fill="FFFFFF"/>
                <w:lang w:eastAsia="zh-CN"/>
              </w:rPr>
              <w:t>高能量激光治疗仪</w:t>
            </w:r>
          </w:p>
        </w:tc>
        <w:tc>
          <w:tcPr>
            <w:tcW w:w="390" w:type="dxa"/>
            <w:vAlign w:val="center"/>
          </w:tcPr>
          <w:p w14:paraId="60A871BC">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1</w:t>
            </w:r>
            <w:r>
              <w:rPr>
                <w:rFonts w:hint="eastAsia" w:ascii="宋体" w:hAnsi="宋体" w:eastAsia="宋体" w:cs="宋体"/>
                <w:b/>
                <w:color w:val="000000"/>
                <w:sz w:val="21"/>
                <w:szCs w:val="21"/>
              </w:rPr>
              <w:t>套</w:t>
            </w:r>
          </w:p>
        </w:tc>
        <w:tc>
          <w:tcPr>
            <w:tcW w:w="8623" w:type="dxa"/>
          </w:tcPr>
          <w:p w14:paraId="3A3B5E58">
            <w:pPr>
              <w:rPr>
                <w:rFonts w:hint="eastAsia"/>
              </w:rPr>
            </w:pPr>
            <w:r>
              <w:rPr>
                <w:rFonts w:hint="eastAsia"/>
              </w:rPr>
              <w:t>技术参数及性能（配置）要求</w:t>
            </w:r>
          </w:p>
          <w:p w14:paraId="2CFD9FA5">
            <w:pPr>
              <w:rPr>
                <w:rFonts w:hint="eastAsia"/>
              </w:rPr>
            </w:pPr>
            <w:r>
              <w:rPr>
                <w:rFonts w:hint="eastAsia"/>
              </w:rPr>
              <w:t>一、技术参数</w:t>
            </w:r>
          </w:p>
          <w:p w14:paraId="098E183B">
            <w:pPr>
              <w:rPr>
                <w:rFonts w:hint="eastAsia"/>
              </w:rPr>
            </w:pPr>
            <w:r>
              <w:rPr>
                <w:rFonts w:hint="eastAsia"/>
              </w:rPr>
              <w:t>1.激光类型：医用半导体激光器</w:t>
            </w:r>
          </w:p>
          <w:p w14:paraId="7544ADA1">
            <w:pPr>
              <w:rPr>
                <w:rFonts w:hint="eastAsia"/>
              </w:rPr>
            </w:pPr>
            <w:r>
              <w:rPr>
                <w:rFonts w:hint="eastAsia"/>
              </w:rPr>
              <w:t>2.▲工作激光波长：具备800nm-1064nm范围内至少两种可选波长，或该范围内连续可调波长输出</w:t>
            </w:r>
          </w:p>
          <w:p w14:paraId="518A26F1">
            <w:pPr>
              <w:rPr>
                <w:rFonts w:hint="eastAsia"/>
              </w:rPr>
            </w:pPr>
            <w:r>
              <w:rPr>
                <w:rFonts w:hint="eastAsia"/>
              </w:rPr>
              <w:t>3.▲最大持续输出功率≥25W</w:t>
            </w:r>
          </w:p>
          <w:p w14:paraId="7079DFC7">
            <w:pPr>
              <w:rPr>
                <w:rFonts w:hint="eastAsia"/>
              </w:rPr>
            </w:pPr>
            <w:r>
              <w:rPr>
                <w:rFonts w:hint="eastAsia"/>
              </w:rPr>
              <w:t>4.输出方式2种：至少包含连续模式，脉冲模式</w:t>
            </w:r>
          </w:p>
          <w:p w14:paraId="4E716CA1">
            <w:pPr>
              <w:rPr>
                <w:rFonts w:hint="eastAsia"/>
              </w:rPr>
            </w:pPr>
            <w:r>
              <w:rPr>
                <w:rFonts w:hint="eastAsia"/>
              </w:rPr>
              <w:t>5.▲激光脉冲频率1-5000Hz可调</w:t>
            </w:r>
          </w:p>
          <w:p w14:paraId="4F032CF7">
            <w:pPr>
              <w:rPr>
                <w:rFonts w:hint="eastAsia"/>
              </w:rPr>
            </w:pPr>
            <w:r>
              <w:rPr>
                <w:rFonts w:hint="eastAsia"/>
              </w:rPr>
              <w:t xml:space="preserve">6.占空比：10%-90% 可调                                                 </w:t>
            </w:r>
          </w:p>
          <w:p w14:paraId="6E6A6E7B">
            <w:pPr>
              <w:rPr>
                <w:rFonts w:hint="eastAsia"/>
              </w:rPr>
            </w:pPr>
            <w:r>
              <w:rPr>
                <w:rFonts w:hint="eastAsia"/>
              </w:rPr>
              <w:t>7.手柄光纤长度：≥2m</w:t>
            </w:r>
          </w:p>
          <w:p w14:paraId="0009BA01">
            <w:pPr>
              <w:rPr>
                <w:rFonts w:hint="eastAsia"/>
              </w:rPr>
            </w:pPr>
            <w:r>
              <w:rPr>
                <w:rFonts w:hint="eastAsia"/>
              </w:rPr>
              <w:t xml:space="preserve">8.治疗手柄配置要求：a) 滚动式接触治疗头：适用于颈肩腰背等部位大面积移动照射；b) 点状聚焦治疗头：适用于神经节、神经干、痛点、穴位及耳鼻喉等部位的精准照射；c) 大光斑关节治疗头：适用于肘、腕、膝、踝等关节部位；d) 小光斑精细治疗头：适用于手足指端、面部等精细部位；e) 非接触式散射治疗头：适用于创面、伤口等非接触照射治疗；f) 手持式通用治疗手柄：可更换不同规格照射头，适配多种临床场景。 </w:t>
            </w:r>
          </w:p>
          <w:p w14:paraId="15AF5F9D">
            <w:pPr>
              <w:rPr>
                <w:rFonts w:hint="eastAsia"/>
              </w:rPr>
            </w:pPr>
            <w:r>
              <w:rPr>
                <w:rFonts w:hint="eastAsia"/>
              </w:rPr>
              <w:t>9.指示光：激光二极管650nm（±10nm）≤5mW，亮度可调</w:t>
            </w:r>
          </w:p>
          <w:p w14:paraId="15A22567">
            <w:pPr>
              <w:rPr>
                <w:rFonts w:hint="eastAsia"/>
              </w:rPr>
            </w:pPr>
            <w:r>
              <w:rPr>
                <w:rFonts w:hint="eastAsia"/>
              </w:rPr>
              <w:t xml:space="preserve">10.定时功能：0—99min可调  </w:t>
            </w:r>
          </w:p>
          <w:p w14:paraId="75BD9A1D">
            <w:pPr>
              <w:rPr>
                <w:rFonts w:hint="eastAsia"/>
              </w:rPr>
            </w:pPr>
            <w:r>
              <w:rPr>
                <w:rFonts w:hint="eastAsia"/>
              </w:rPr>
              <w:t xml:space="preserve">11.智能操作系统，可连接wifi远程更新，中英文输入 </w:t>
            </w:r>
          </w:p>
          <w:p w14:paraId="66C18A8B">
            <w:pPr>
              <w:rPr>
                <w:rFonts w:hint="eastAsia"/>
              </w:rPr>
            </w:pPr>
            <w:r>
              <w:rPr>
                <w:rFonts w:hint="eastAsia"/>
              </w:rPr>
              <w:t xml:space="preserve">12.具备预设治疗方案功能：可根据治疗部位、疾病类型等提供参考治疗参数建议，参数可手动调整。或提供不少于10组常用临床治疗方案存储及调用功能。   </w:t>
            </w:r>
          </w:p>
          <w:p w14:paraId="112477D5">
            <w:pPr>
              <w:rPr>
                <w:rFonts w:hint="eastAsia"/>
              </w:rPr>
            </w:pPr>
            <w:r>
              <w:rPr>
                <w:rFonts w:hint="eastAsia"/>
              </w:rPr>
              <w:t xml:space="preserve">13.具备患者信息及治疗记录存储、查询、管理功能，存储容量不少于1000例或支持外部存储扩展             </w:t>
            </w:r>
          </w:p>
          <w:p w14:paraId="21FE743F">
            <w:pPr>
              <w:rPr>
                <w:rFonts w:hint="eastAsia"/>
              </w:rPr>
            </w:pPr>
            <w:r>
              <w:rPr>
                <w:rFonts w:hint="eastAsia"/>
              </w:rPr>
              <w:t>14.操作方式：治疗参数、方案及机器运行情况等均可显示，大彩色触摸液晶屏≥10寸</w:t>
            </w:r>
          </w:p>
          <w:p w14:paraId="275927D9">
            <w:pPr>
              <w:rPr>
                <w:rFonts w:hint="eastAsia"/>
              </w:rPr>
            </w:pPr>
            <w:r>
              <w:rPr>
                <w:rFonts w:hint="eastAsia"/>
              </w:rPr>
              <w:t>15.保护系统：具备钥匙开关管理；联锁开关保护；急停开关保护</w:t>
            </w:r>
          </w:p>
          <w:p w14:paraId="06F591C6">
            <w:pPr>
              <w:rPr>
                <w:rFonts w:hint="eastAsia"/>
              </w:rPr>
            </w:pPr>
            <w:r>
              <w:rPr>
                <w:rFonts w:hint="eastAsia"/>
              </w:rPr>
              <w:t>16.冷却方式：采用有效冷却方式，确保连续工作稳定性，如风冷、水冷或半导体制冷等</w:t>
            </w:r>
          </w:p>
          <w:p w14:paraId="11DBF9D8">
            <w:pPr>
              <w:rPr>
                <w:rFonts w:hint="eastAsia"/>
              </w:rPr>
            </w:pPr>
            <w:r>
              <w:rPr>
                <w:rFonts w:hint="eastAsia"/>
              </w:rPr>
              <w:t>17.激光安全等级：符合GB 7247.1 / IEC 60825-1标准中4类激光要求</w:t>
            </w:r>
          </w:p>
          <w:p w14:paraId="7E728135">
            <w:pPr>
              <w:rPr>
                <w:rFonts w:hint="eastAsia"/>
              </w:rPr>
            </w:pPr>
            <w:r>
              <w:rPr>
                <w:rFonts w:hint="eastAsia"/>
              </w:rPr>
              <w:t>18.电源输入：AC 220V±10%，50Hz±1Hz，额定电流≤10A</w:t>
            </w:r>
          </w:p>
          <w:p w14:paraId="2689E7F8">
            <w:pPr>
              <w:rPr>
                <w:rFonts w:hint="eastAsia"/>
                <w:lang w:val="en-US" w:eastAsia="zh-CN"/>
              </w:rPr>
            </w:pPr>
            <w:r>
              <w:rPr>
                <w:rFonts w:hint="eastAsia"/>
              </w:rPr>
              <w:t>防电击分类：符合GB 9706.1标准，具备有效接地保护（I类）或双重绝缘保护（II类），应用部分防电击程度不低于B型</w:t>
            </w:r>
          </w:p>
          <w:p w14:paraId="2217BC14">
            <w:pPr>
              <w:rPr>
                <w:rFonts w:hint="eastAsia"/>
                <w:lang w:val="en-US" w:eastAsia="zh-CN"/>
              </w:rPr>
            </w:pPr>
          </w:p>
          <w:p w14:paraId="5417BC80">
            <w:pPr>
              <w:rPr>
                <w:rFonts w:hint="eastAsia"/>
                <w:lang w:val="en-US" w:eastAsia="zh-CN"/>
              </w:rPr>
            </w:pPr>
          </w:p>
          <w:p w14:paraId="15898563">
            <w:pPr>
              <w:numPr>
                <w:ilvl w:val="0"/>
                <w:numId w:val="1"/>
              </w:numPr>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配置清单/要求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4005"/>
              <w:gridCol w:w="600"/>
              <w:gridCol w:w="1200"/>
            </w:tblGrid>
            <w:tr w14:paraId="46C5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42056DF3">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序号</w:t>
                  </w:r>
                </w:p>
              </w:tc>
              <w:tc>
                <w:tcPr>
                  <w:tcW w:w="4005" w:type="dxa"/>
                  <w:vAlign w:val="center"/>
                </w:tcPr>
                <w:p w14:paraId="4D21A0C3">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内容</w:t>
                  </w:r>
                </w:p>
              </w:tc>
              <w:tc>
                <w:tcPr>
                  <w:tcW w:w="600" w:type="dxa"/>
                  <w:vAlign w:val="center"/>
                </w:tcPr>
                <w:p w14:paraId="065EA845">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数量</w:t>
                  </w:r>
                </w:p>
              </w:tc>
              <w:tc>
                <w:tcPr>
                  <w:tcW w:w="1200" w:type="dxa"/>
                  <w:vAlign w:val="center"/>
                </w:tcPr>
                <w:p w14:paraId="26036A4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单位</w:t>
                  </w:r>
                </w:p>
              </w:tc>
            </w:tr>
            <w:tr w14:paraId="4FB3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213DE953">
                  <w:pPr>
                    <w:spacing w:line="380" w:lineRule="exact"/>
                    <w:rPr>
                      <w:rFonts w:ascii="宋体" w:hAnsi="宋体" w:eastAsia="宋体" w:cs="Times New Roman"/>
                      <w:b w:val="0"/>
                      <w:bCs w:val="0"/>
                      <w:color w:val="auto"/>
                      <w:sz w:val="24"/>
                      <w:szCs w:val="24"/>
                      <w:highlight w:val="none"/>
                    </w:rPr>
                  </w:pPr>
                  <w:r>
                    <w:rPr>
                      <w:rFonts w:ascii="宋体" w:hAnsi="宋体"/>
                      <w:szCs w:val="21"/>
                    </w:rPr>
                    <w:t>1</w:t>
                  </w:r>
                </w:p>
              </w:tc>
              <w:tc>
                <w:tcPr>
                  <w:tcW w:w="4005" w:type="dxa"/>
                  <w:vAlign w:val="top"/>
                </w:tcPr>
                <w:p w14:paraId="5011B8F9">
                  <w:pPr>
                    <w:widowControl/>
                    <w:jc w:val="left"/>
                    <w:rPr>
                      <w:rFonts w:ascii="宋体" w:hAnsi="宋体" w:eastAsia="宋体" w:cs="Times New Roman"/>
                      <w:b w:val="0"/>
                      <w:bCs w:val="0"/>
                      <w:color w:val="auto"/>
                      <w:sz w:val="24"/>
                      <w:szCs w:val="24"/>
                      <w:highlight w:val="none"/>
                    </w:rPr>
                  </w:pPr>
                  <w:r>
                    <w:rPr>
                      <w:rFonts w:hint="eastAsia"/>
                      <w:sz w:val="24"/>
                    </w:rPr>
                    <w:t>主机</w:t>
                  </w:r>
                </w:p>
              </w:tc>
              <w:tc>
                <w:tcPr>
                  <w:tcW w:w="600" w:type="dxa"/>
                  <w:vAlign w:val="center"/>
                </w:tcPr>
                <w:p w14:paraId="1DD780DE">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val="en-US" w:eastAsia="zh-CN"/>
                    </w:rPr>
                    <w:t>1</w:t>
                  </w:r>
                </w:p>
              </w:tc>
              <w:tc>
                <w:tcPr>
                  <w:tcW w:w="1200" w:type="dxa"/>
                  <w:vAlign w:val="center"/>
                </w:tcPr>
                <w:p w14:paraId="7D1B3B17">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台</w:t>
                  </w:r>
                </w:p>
              </w:tc>
            </w:tr>
            <w:tr w14:paraId="3431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192254A2">
                  <w:pPr>
                    <w:spacing w:line="380" w:lineRule="exact"/>
                    <w:rPr>
                      <w:rFonts w:ascii="宋体" w:hAnsi="宋体" w:eastAsia="宋体" w:cs="Times New Roman"/>
                      <w:b w:val="0"/>
                      <w:bCs w:val="0"/>
                      <w:color w:val="auto"/>
                      <w:sz w:val="24"/>
                      <w:szCs w:val="24"/>
                      <w:highlight w:val="none"/>
                    </w:rPr>
                  </w:pPr>
                  <w:r>
                    <w:rPr>
                      <w:rFonts w:ascii="宋体" w:hAnsi="宋体"/>
                      <w:szCs w:val="21"/>
                    </w:rPr>
                    <w:t>2</w:t>
                  </w:r>
                </w:p>
              </w:tc>
              <w:tc>
                <w:tcPr>
                  <w:tcW w:w="4005" w:type="dxa"/>
                  <w:vAlign w:val="top"/>
                </w:tcPr>
                <w:p w14:paraId="56F911A0">
                  <w:pPr>
                    <w:widowControl/>
                    <w:jc w:val="left"/>
                    <w:rPr>
                      <w:rFonts w:ascii="宋体" w:hAnsi="宋体" w:eastAsia="宋体" w:cs="Times New Roman"/>
                      <w:b w:val="0"/>
                      <w:bCs w:val="0"/>
                      <w:color w:val="auto"/>
                      <w:sz w:val="24"/>
                      <w:szCs w:val="24"/>
                      <w:highlight w:val="none"/>
                    </w:rPr>
                  </w:pPr>
                  <w:r>
                    <w:rPr>
                      <w:rFonts w:hint="eastAsia"/>
                      <w:sz w:val="24"/>
                    </w:rPr>
                    <w:t>治疗手柄</w:t>
                  </w:r>
                  <w:r>
                    <w:rPr>
                      <w:rFonts w:hint="eastAsia"/>
                      <w:sz w:val="24"/>
                      <w:lang w:eastAsia="zh-CN"/>
                    </w:rPr>
                    <w:t>（</w:t>
                  </w:r>
                  <w:r>
                    <w:rPr>
                      <w:rFonts w:hint="eastAsia"/>
                      <w:sz w:val="24"/>
                      <w:lang w:val="en-US" w:eastAsia="zh-CN"/>
                    </w:rPr>
                    <w:t>5种</w:t>
                  </w:r>
                  <w:r>
                    <w:rPr>
                      <w:rFonts w:hint="eastAsia"/>
                      <w:sz w:val="24"/>
                      <w:lang w:eastAsia="zh-CN"/>
                    </w:rPr>
                    <w:t>）</w:t>
                  </w:r>
                </w:p>
              </w:tc>
              <w:tc>
                <w:tcPr>
                  <w:tcW w:w="600" w:type="dxa"/>
                  <w:vAlign w:val="center"/>
                </w:tcPr>
                <w:p w14:paraId="4EACDBB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1</w:t>
                  </w:r>
                </w:p>
              </w:tc>
              <w:tc>
                <w:tcPr>
                  <w:tcW w:w="1200" w:type="dxa"/>
                  <w:vAlign w:val="center"/>
                </w:tcPr>
                <w:p w14:paraId="76610B23">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套</w:t>
                  </w:r>
                </w:p>
              </w:tc>
            </w:tr>
            <w:tr w14:paraId="3449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7C2858D6">
                  <w:pPr>
                    <w:spacing w:line="380" w:lineRule="exact"/>
                    <w:rPr>
                      <w:rFonts w:ascii="宋体" w:hAnsi="宋体" w:eastAsia="宋体" w:cs="Times New Roman"/>
                      <w:b w:val="0"/>
                      <w:bCs w:val="0"/>
                      <w:color w:val="auto"/>
                      <w:sz w:val="24"/>
                      <w:szCs w:val="24"/>
                      <w:highlight w:val="none"/>
                    </w:rPr>
                  </w:pPr>
                  <w:r>
                    <w:rPr>
                      <w:rFonts w:ascii="宋体" w:hAnsi="宋体"/>
                      <w:szCs w:val="21"/>
                    </w:rPr>
                    <w:t>3</w:t>
                  </w:r>
                </w:p>
              </w:tc>
              <w:tc>
                <w:tcPr>
                  <w:tcW w:w="4005" w:type="dxa"/>
                  <w:vAlign w:val="top"/>
                </w:tcPr>
                <w:p w14:paraId="41E66626">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激光防护眼镜</w:t>
                  </w:r>
                </w:p>
              </w:tc>
              <w:tc>
                <w:tcPr>
                  <w:tcW w:w="600" w:type="dxa"/>
                  <w:vAlign w:val="center"/>
                </w:tcPr>
                <w:p w14:paraId="20AFC9D4">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2</w:t>
                  </w:r>
                </w:p>
              </w:tc>
              <w:tc>
                <w:tcPr>
                  <w:tcW w:w="1200" w:type="dxa"/>
                  <w:vAlign w:val="center"/>
                </w:tcPr>
                <w:p w14:paraId="2EF55F31">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eastAsia="zh-CN"/>
                    </w:rPr>
                    <w:t>套个</w:t>
                  </w:r>
                </w:p>
              </w:tc>
            </w:tr>
            <w:tr w14:paraId="3669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18EC006E">
                  <w:pPr>
                    <w:spacing w:line="380" w:lineRule="exact"/>
                    <w:rPr>
                      <w:rFonts w:ascii="宋体" w:hAnsi="宋体" w:eastAsia="宋体" w:cs="Times New Roman"/>
                      <w:b w:val="0"/>
                      <w:bCs w:val="0"/>
                      <w:color w:val="auto"/>
                      <w:sz w:val="24"/>
                      <w:szCs w:val="24"/>
                      <w:highlight w:val="none"/>
                    </w:rPr>
                  </w:pPr>
                  <w:r>
                    <w:rPr>
                      <w:rFonts w:hint="eastAsia" w:ascii="宋体" w:hAnsi="宋体"/>
                      <w:szCs w:val="21"/>
                    </w:rPr>
                    <w:t>4</w:t>
                  </w:r>
                </w:p>
              </w:tc>
              <w:tc>
                <w:tcPr>
                  <w:tcW w:w="4005" w:type="dxa"/>
                  <w:vAlign w:val="top"/>
                </w:tcPr>
                <w:p w14:paraId="6F8B747F">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电源线</w:t>
                  </w:r>
                </w:p>
              </w:tc>
              <w:tc>
                <w:tcPr>
                  <w:tcW w:w="600" w:type="dxa"/>
                  <w:vAlign w:val="center"/>
                </w:tcPr>
                <w:p w14:paraId="5E3BF72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1</w:t>
                  </w:r>
                </w:p>
              </w:tc>
              <w:tc>
                <w:tcPr>
                  <w:tcW w:w="1200" w:type="dxa"/>
                  <w:vAlign w:val="center"/>
                </w:tcPr>
                <w:p w14:paraId="42C36E7B">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根</w:t>
                  </w:r>
                </w:p>
              </w:tc>
            </w:tr>
          </w:tbl>
          <w:p w14:paraId="0B4E0668">
            <w:pPr>
              <w:rPr>
                <w:rFonts w:hint="eastAsia"/>
              </w:rPr>
            </w:pPr>
          </w:p>
          <w:p w14:paraId="0F38DBD9">
            <w:pPr>
              <w:rPr>
                <w:rFonts w:hint="eastAsia"/>
              </w:rPr>
            </w:pPr>
          </w:p>
          <w:p w14:paraId="75EA0367">
            <w:pPr>
              <w:rPr>
                <w:rFonts w:hint="eastAsia"/>
              </w:rPr>
            </w:pPr>
          </w:p>
          <w:p w14:paraId="58014797">
            <w:pPr>
              <w:rPr>
                <w:rFonts w:hint="eastAsia"/>
                <w:lang w:eastAsia="zh-CN"/>
              </w:rPr>
            </w:pPr>
          </w:p>
        </w:tc>
      </w:tr>
      <w:tr w14:paraId="3C693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5E1A6CE3">
            <w:pPr>
              <w:adjustRightInd/>
              <w:snapToGrid/>
              <w:spacing w:line="360" w:lineRule="auto"/>
              <w:jc w:val="center"/>
              <w:rPr>
                <w:rFonts w:hint="eastAsia" w:ascii="宋体" w:hAnsi="宋体" w:eastAsia="宋体" w:cs="宋体"/>
                <w:b/>
                <w:color w:val="000000"/>
                <w:sz w:val="21"/>
                <w:szCs w:val="21"/>
                <w:lang w:val="en-US" w:eastAsia="zh-CN"/>
              </w:rPr>
            </w:pPr>
          </w:p>
        </w:tc>
        <w:tc>
          <w:tcPr>
            <w:tcW w:w="1125" w:type="dxa"/>
            <w:vAlign w:val="center"/>
          </w:tcPr>
          <w:p w14:paraId="1A185917">
            <w:pPr>
              <w:adjustRightInd/>
              <w:snapToGrid/>
              <w:spacing w:line="360" w:lineRule="auto"/>
              <w:jc w:val="center"/>
              <w:rPr>
                <w:rStyle w:val="5"/>
                <w:rFonts w:hint="eastAsia" w:ascii="Segoe UI" w:hAnsi="Segoe UI" w:eastAsia="宋体" w:cs="Segoe UI"/>
                <w:b/>
                <w:i w:val="0"/>
                <w:caps w:val="0"/>
                <w:color w:val="000000"/>
                <w:spacing w:val="0"/>
                <w:sz w:val="24"/>
                <w:szCs w:val="24"/>
                <w:shd w:val="clear" w:fill="FFFFFF"/>
                <w:lang w:eastAsia="zh-CN"/>
              </w:rPr>
            </w:pPr>
            <w:r>
              <w:rPr>
                <w:rStyle w:val="5"/>
                <w:rFonts w:hint="eastAsia" w:ascii="Segoe UI" w:hAnsi="Segoe UI" w:eastAsia="宋体" w:cs="Segoe UI"/>
                <w:b/>
                <w:i w:val="0"/>
                <w:caps w:val="0"/>
                <w:color w:val="000000"/>
                <w:spacing w:val="0"/>
                <w:sz w:val="24"/>
                <w:szCs w:val="24"/>
                <w:shd w:val="clear" w:fill="FFFFFF"/>
                <w:lang w:eastAsia="zh-CN"/>
              </w:rPr>
              <w:t>总预算金额</w:t>
            </w:r>
          </w:p>
        </w:tc>
        <w:tc>
          <w:tcPr>
            <w:tcW w:w="390" w:type="dxa"/>
            <w:vAlign w:val="center"/>
          </w:tcPr>
          <w:p w14:paraId="5A146E4A">
            <w:pPr>
              <w:adjustRightInd/>
              <w:snapToGrid/>
              <w:spacing w:line="360" w:lineRule="auto"/>
              <w:jc w:val="center"/>
              <w:rPr>
                <w:rFonts w:hint="eastAsia" w:ascii="宋体" w:hAnsi="宋体" w:eastAsia="宋体" w:cs="宋体"/>
                <w:b/>
                <w:color w:val="000000"/>
                <w:sz w:val="21"/>
                <w:szCs w:val="21"/>
                <w:lang w:val="en-US" w:eastAsia="zh-CN"/>
              </w:rPr>
            </w:pPr>
          </w:p>
        </w:tc>
        <w:tc>
          <w:tcPr>
            <w:tcW w:w="8623" w:type="dxa"/>
          </w:tcPr>
          <w:p w14:paraId="678400EB">
            <w:pPr>
              <w:rPr>
                <w:rFonts w:hint="default" w:ascii="Segoe UI" w:hAnsi="Segoe UI" w:eastAsia="Segoe UI" w:cs="Segoe UI"/>
                <w:i w:val="0"/>
                <w:caps w:val="0"/>
                <w:spacing w:val="0"/>
                <w:sz w:val="24"/>
                <w:szCs w:val="24"/>
                <w:shd w:val="clear" w:fill="FFFFFF"/>
                <w:lang w:val="en-US" w:eastAsia="zh-CN"/>
              </w:rPr>
            </w:pPr>
            <w:r>
              <w:rPr>
                <w:rFonts w:hint="eastAsia" w:ascii="Segoe UI" w:hAnsi="Segoe UI" w:eastAsia="Segoe UI" w:cs="Segoe UI"/>
                <w:i w:val="0"/>
                <w:caps w:val="0"/>
                <w:spacing w:val="0"/>
                <w:sz w:val="24"/>
                <w:szCs w:val="24"/>
                <w:shd w:val="clear" w:fill="FFFFFF"/>
                <w:lang w:val="en-US" w:eastAsia="zh-CN"/>
              </w:rPr>
              <w:t>380000元</w:t>
            </w:r>
          </w:p>
        </w:tc>
      </w:tr>
    </w:tbl>
    <w:p w14:paraId="5545E5F7">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E84A7"/>
    <w:multiLevelType w:val="singleLevel"/>
    <w:tmpl w:val="C21E84A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631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2026-09-11T08:45:21Z</dcterms:created>
  <dc:creator>Administrator</dc:creator>
  <cp:lastModifiedBy>三少</cp:lastModifiedBy>
  <dcterms:modified xsi:type="dcterms:W3CDTF">2026-09-11T08:45:34Z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eyJoZGlkIjoiM2ExMTY2ZDBlMTI3NjFiYmZmNDBjNWI5OTk3MTViMTIiLCJ1c2VySWQiOiIzODM0Njk2NjgifQ==</vt:lpwstr>
  </property>
  <property fmtid="{D5CDD505-2E9C-101B-9397-08002B2CF9AE}" pid="4" name="ICV">
    <vt:lpwstr>C943FC6134194CCCB50A789B7C9950AE_12</vt:lpwstr>
  </property>
</Properties>
</file>